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A7" w:rsidRPr="00A87947" w:rsidRDefault="00A92BA7" w:rsidP="00A87947">
      <w:pPr>
        <w:adjustRightInd w:val="0"/>
        <w:snapToGrid w:val="0"/>
        <w:spacing w:line="360" w:lineRule="auto"/>
        <w:jc w:val="center"/>
        <w:rPr>
          <w:rFonts w:ascii="华文新魏" w:eastAsia="华文新魏"/>
          <w:sz w:val="36"/>
          <w:szCs w:val="36"/>
        </w:rPr>
      </w:pPr>
      <w:r w:rsidRPr="00A87947">
        <w:rPr>
          <w:rFonts w:ascii="华文新魏" w:eastAsia="华文新魏" w:hint="eastAsia"/>
          <w:sz w:val="36"/>
          <w:szCs w:val="36"/>
        </w:rPr>
        <w:t>农业虫害鼠害综合治理研究国家重点实验室</w:t>
      </w:r>
    </w:p>
    <w:p w:rsidR="00A92BA7" w:rsidRPr="00A87947" w:rsidRDefault="00A92BA7" w:rsidP="00A87947">
      <w:pPr>
        <w:adjustRightInd w:val="0"/>
        <w:snapToGrid w:val="0"/>
        <w:spacing w:afterLines="50" w:after="156" w:line="360" w:lineRule="auto"/>
        <w:jc w:val="center"/>
        <w:rPr>
          <w:rFonts w:ascii="华文新魏" w:eastAsia="华文新魏"/>
          <w:sz w:val="36"/>
          <w:szCs w:val="36"/>
        </w:rPr>
      </w:pPr>
      <w:r w:rsidRPr="00A87947">
        <w:rPr>
          <w:rFonts w:ascii="华文新魏" w:eastAsia="华文新魏" w:hint="eastAsia"/>
          <w:sz w:val="36"/>
          <w:szCs w:val="36"/>
        </w:rPr>
        <w:t>开放课题申请指南</w:t>
      </w:r>
    </w:p>
    <w:p w:rsidR="00A92BA7" w:rsidRPr="00A87947" w:rsidRDefault="00A92BA7" w:rsidP="00A87947">
      <w:pPr>
        <w:adjustRightInd w:val="0"/>
        <w:snapToGrid w:val="0"/>
        <w:spacing w:afterLines="50" w:after="156" w:line="360" w:lineRule="auto"/>
        <w:ind w:firstLineChars="200" w:firstLine="560"/>
        <w:jc w:val="left"/>
        <w:rPr>
          <w:rFonts w:ascii="仿宋_GB2312" w:eastAsia="仿宋_GB2312" w:hAnsi="Arial" w:cs="Arial"/>
          <w:sz w:val="28"/>
          <w:szCs w:val="28"/>
        </w:rPr>
      </w:pPr>
      <w:r w:rsidRPr="00A87947">
        <w:rPr>
          <w:rFonts w:ascii="仿宋_GB2312" w:eastAsia="仿宋_GB2312" w:hAnsi="Arial" w:cs="Arial" w:hint="eastAsia"/>
          <w:sz w:val="28"/>
          <w:szCs w:val="28"/>
        </w:rPr>
        <w:t>农业虫害鼠害综合治理研究国家重点实验室依托中国科学院动物研究所，以解决我国重大害虫害鼠成灾与控制的关键基础科学问题为目标，重点研究害虫害鼠分子进化、环境适应、化学通讯机制与暴发成灾规律；研发无公害、绿色、低碳控制技术，提出全球变化环境下害虫害鼠的生态管理对策。本着“开放、联合、竞争”的原则，特制定本开放课题申请指南。</w:t>
      </w:r>
    </w:p>
    <w:p w:rsidR="00A92BA7" w:rsidRPr="00A87947" w:rsidRDefault="00A92BA7" w:rsidP="00A87947">
      <w:pPr>
        <w:numPr>
          <w:ilvl w:val="0"/>
          <w:numId w:val="1"/>
        </w:numPr>
        <w:tabs>
          <w:tab w:val="clear" w:pos="1062"/>
          <w:tab w:val="num" w:pos="567"/>
        </w:tabs>
        <w:adjustRightInd w:val="0"/>
        <w:snapToGrid w:val="0"/>
        <w:spacing w:afterLines="50" w:after="156" w:line="360" w:lineRule="auto"/>
        <w:ind w:left="0" w:firstLine="0"/>
        <w:rPr>
          <w:rFonts w:ascii="仿宋" w:eastAsia="仿宋" w:hAnsi="仿宋"/>
          <w:b/>
          <w:sz w:val="28"/>
          <w:szCs w:val="28"/>
        </w:rPr>
      </w:pPr>
      <w:r w:rsidRPr="00A87947">
        <w:rPr>
          <w:rFonts w:ascii="仿宋" w:eastAsia="仿宋" w:hAnsi="仿宋" w:hint="eastAsia"/>
          <w:b/>
          <w:sz w:val="28"/>
          <w:szCs w:val="28"/>
        </w:rPr>
        <w:t>资助方向</w:t>
      </w:r>
    </w:p>
    <w:p w:rsidR="00A92BA7" w:rsidRPr="00A87947" w:rsidRDefault="00A92BA7" w:rsidP="00A87947">
      <w:pPr>
        <w:numPr>
          <w:ilvl w:val="1"/>
          <w:numId w:val="1"/>
        </w:numPr>
        <w:tabs>
          <w:tab w:val="clear" w:pos="1182"/>
          <w:tab w:val="num" w:pos="993"/>
        </w:tabs>
        <w:adjustRightInd w:val="0"/>
        <w:snapToGrid w:val="0"/>
        <w:spacing w:afterLines="50" w:after="156" w:line="360" w:lineRule="auto"/>
        <w:ind w:hanging="615"/>
        <w:rPr>
          <w:rFonts w:ascii="仿宋" w:eastAsia="仿宋" w:hAnsi="仿宋"/>
          <w:sz w:val="28"/>
          <w:szCs w:val="28"/>
        </w:rPr>
      </w:pPr>
      <w:r w:rsidRPr="00A87947">
        <w:rPr>
          <w:rFonts w:ascii="仿宋" w:eastAsia="仿宋" w:hAnsi="仿宋" w:hint="eastAsia"/>
          <w:sz w:val="28"/>
          <w:szCs w:val="28"/>
        </w:rPr>
        <w:t>昆虫和鼠类基因表达调控与环境因子的关系，</w:t>
      </w:r>
    </w:p>
    <w:p w:rsidR="00A92BA7" w:rsidRPr="00A87947" w:rsidRDefault="00A92BA7" w:rsidP="00A87947">
      <w:pPr>
        <w:numPr>
          <w:ilvl w:val="1"/>
          <w:numId w:val="1"/>
        </w:numPr>
        <w:tabs>
          <w:tab w:val="clear" w:pos="1182"/>
          <w:tab w:val="num" w:pos="993"/>
        </w:tabs>
        <w:adjustRightInd w:val="0"/>
        <w:snapToGrid w:val="0"/>
        <w:spacing w:afterLines="50" w:after="156" w:line="360" w:lineRule="auto"/>
        <w:ind w:hanging="615"/>
        <w:rPr>
          <w:rFonts w:ascii="仿宋" w:eastAsia="仿宋" w:hAnsi="仿宋"/>
          <w:sz w:val="28"/>
          <w:szCs w:val="28"/>
        </w:rPr>
      </w:pPr>
      <w:r w:rsidRPr="00A87947">
        <w:rPr>
          <w:rFonts w:ascii="仿宋" w:eastAsia="仿宋" w:hAnsi="仿宋" w:hint="eastAsia"/>
          <w:sz w:val="28"/>
          <w:szCs w:val="28"/>
        </w:rPr>
        <w:t>害虫害鼠种群的调节机制、遗传结构及演化</w:t>
      </w:r>
    </w:p>
    <w:p w:rsidR="00A92BA7" w:rsidRPr="00A87947" w:rsidRDefault="00A92BA7" w:rsidP="00A87947">
      <w:pPr>
        <w:numPr>
          <w:ilvl w:val="1"/>
          <w:numId w:val="1"/>
        </w:numPr>
        <w:tabs>
          <w:tab w:val="clear" w:pos="1182"/>
          <w:tab w:val="num" w:pos="993"/>
        </w:tabs>
        <w:adjustRightInd w:val="0"/>
        <w:snapToGrid w:val="0"/>
        <w:spacing w:afterLines="50" w:after="156" w:line="360" w:lineRule="auto"/>
        <w:ind w:hanging="615"/>
        <w:rPr>
          <w:rFonts w:ascii="仿宋" w:eastAsia="仿宋" w:hAnsi="仿宋"/>
          <w:sz w:val="28"/>
          <w:szCs w:val="28"/>
        </w:rPr>
      </w:pPr>
      <w:r w:rsidRPr="00A87947">
        <w:rPr>
          <w:rFonts w:ascii="仿宋" w:eastAsia="仿宋" w:hAnsi="仿宋" w:hint="eastAsia"/>
          <w:sz w:val="28"/>
          <w:szCs w:val="28"/>
        </w:rPr>
        <w:t>害虫害鼠对环境胁迫的适应机制</w:t>
      </w:r>
    </w:p>
    <w:p w:rsidR="00A92BA7" w:rsidRPr="00A87947" w:rsidRDefault="00A92BA7" w:rsidP="00A87947">
      <w:pPr>
        <w:numPr>
          <w:ilvl w:val="1"/>
          <w:numId w:val="1"/>
        </w:numPr>
        <w:tabs>
          <w:tab w:val="clear" w:pos="1182"/>
          <w:tab w:val="num" w:pos="993"/>
        </w:tabs>
        <w:adjustRightInd w:val="0"/>
        <w:snapToGrid w:val="0"/>
        <w:spacing w:afterLines="50" w:after="156" w:line="360" w:lineRule="auto"/>
        <w:ind w:hanging="615"/>
        <w:rPr>
          <w:rFonts w:ascii="仿宋" w:eastAsia="仿宋" w:hAnsi="仿宋"/>
          <w:sz w:val="28"/>
          <w:szCs w:val="28"/>
        </w:rPr>
      </w:pPr>
      <w:r w:rsidRPr="00A87947">
        <w:rPr>
          <w:rFonts w:ascii="仿宋" w:eastAsia="仿宋" w:hAnsi="仿宋" w:hint="eastAsia"/>
          <w:sz w:val="28"/>
          <w:szCs w:val="28"/>
        </w:rPr>
        <w:t>植物</w:t>
      </w:r>
      <w:r w:rsidRPr="00A87947">
        <w:rPr>
          <w:rFonts w:ascii="仿宋" w:eastAsia="仿宋" w:hAnsi="仿宋"/>
          <w:sz w:val="28"/>
          <w:szCs w:val="28"/>
        </w:rPr>
        <w:t>-</w:t>
      </w:r>
      <w:r w:rsidR="00A87947">
        <w:rPr>
          <w:rFonts w:ascii="仿宋" w:eastAsia="仿宋" w:hAnsi="仿宋" w:hint="eastAsia"/>
          <w:sz w:val="28"/>
          <w:szCs w:val="28"/>
        </w:rPr>
        <w:t>昆虫</w:t>
      </w:r>
      <w:r w:rsidRPr="00A87947">
        <w:rPr>
          <w:rFonts w:ascii="仿宋" w:eastAsia="仿宋" w:hAnsi="仿宋"/>
          <w:sz w:val="28"/>
          <w:szCs w:val="28"/>
        </w:rPr>
        <w:t>-</w:t>
      </w:r>
      <w:r w:rsidRPr="00A87947">
        <w:rPr>
          <w:rFonts w:ascii="仿宋" w:eastAsia="仿宋" w:hAnsi="仿宋" w:hint="eastAsia"/>
          <w:sz w:val="28"/>
          <w:szCs w:val="28"/>
        </w:rPr>
        <w:t>天敌</w:t>
      </w:r>
      <w:r w:rsidR="00A87947">
        <w:rPr>
          <w:rFonts w:ascii="仿宋" w:eastAsia="仿宋" w:hAnsi="仿宋" w:hint="eastAsia"/>
          <w:sz w:val="28"/>
          <w:szCs w:val="28"/>
        </w:rPr>
        <w:t>-共生微生物多</w:t>
      </w:r>
      <w:r w:rsidRPr="00A87947">
        <w:rPr>
          <w:rFonts w:ascii="仿宋" w:eastAsia="仿宋" w:hAnsi="仿宋" w:hint="eastAsia"/>
          <w:sz w:val="28"/>
          <w:szCs w:val="28"/>
        </w:rPr>
        <w:t>营养级</w:t>
      </w:r>
      <w:r w:rsidR="00A87947">
        <w:rPr>
          <w:rFonts w:ascii="仿宋" w:eastAsia="仿宋" w:hAnsi="仿宋" w:hint="eastAsia"/>
          <w:sz w:val="28"/>
          <w:szCs w:val="28"/>
        </w:rPr>
        <w:t>互作</w:t>
      </w:r>
    </w:p>
    <w:p w:rsidR="00A92BA7" w:rsidRPr="00A87947" w:rsidRDefault="00A92BA7" w:rsidP="00A87947">
      <w:pPr>
        <w:numPr>
          <w:ilvl w:val="1"/>
          <w:numId w:val="1"/>
        </w:numPr>
        <w:tabs>
          <w:tab w:val="clear" w:pos="1182"/>
          <w:tab w:val="num" w:pos="993"/>
        </w:tabs>
        <w:adjustRightInd w:val="0"/>
        <w:snapToGrid w:val="0"/>
        <w:spacing w:afterLines="50" w:after="156" w:line="360" w:lineRule="auto"/>
        <w:ind w:hanging="615"/>
        <w:rPr>
          <w:rFonts w:ascii="仿宋" w:eastAsia="仿宋" w:hAnsi="仿宋"/>
          <w:sz w:val="28"/>
          <w:szCs w:val="28"/>
        </w:rPr>
      </w:pPr>
      <w:r w:rsidRPr="00A87947">
        <w:rPr>
          <w:rFonts w:ascii="仿宋" w:eastAsia="仿宋" w:hAnsi="仿宋" w:hint="eastAsia"/>
          <w:sz w:val="28"/>
          <w:szCs w:val="28"/>
        </w:rPr>
        <w:t>害虫害鼠对全球变化的响应机制</w:t>
      </w:r>
    </w:p>
    <w:p w:rsidR="00A92BA7" w:rsidRPr="00A87947" w:rsidRDefault="00A92BA7" w:rsidP="00A87947">
      <w:pPr>
        <w:numPr>
          <w:ilvl w:val="1"/>
          <w:numId w:val="1"/>
        </w:numPr>
        <w:tabs>
          <w:tab w:val="clear" w:pos="1182"/>
          <w:tab w:val="num" w:pos="993"/>
        </w:tabs>
        <w:adjustRightInd w:val="0"/>
        <w:snapToGrid w:val="0"/>
        <w:spacing w:afterLines="50" w:after="156" w:line="360" w:lineRule="auto"/>
        <w:ind w:hanging="615"/>
        <w:rPr>
          <w:rFonts w:ascii="仿宋" w:eastAsia="仿宋" w:hAnsi="仿宋"/>
          <w:sz w:val="28"/>
          <w:szCs w:val="28"/>
        </w:rPr>
      </w:pPr>
      <w:r w:rsidRPr="00A87947">
        <w:rPr>
          <w:rFonts w:ascii="仿宋" w:eastAsia="仿宋" w:hAnsi="仿宋" w:hint="eastAsia"/>
          <w:sz w:val="28"/>
          <w:szCs w:val="28"/>
        </w:rPr>
        <w:t>害虫害鼠的可持续控制的新技术、新途径、新方法</w:t>
      </w:r>
    </w:p>
    <w:p w:rsidR="00A92BA7" w:rsidRPr="00A87947" w:rsidRDefault="00A92BA7" w:rsidP="00A87947">
      <w:pPr>
        <w:numPr>
          <w:ilvl w:val="0"/>
          <w:numId w:val="1"/>
        </w:numPr>
        <w:tabs>
          <w:tab w:val="clear" w:pos="1062"/>
          <w:tab w:val="num" w:pos="567"/>
        </w:tabs>
        <w:adjustRightInd w:val="0"/>
        <w:snapToGrid w:val="0"/>
        <w:spacing w:afterLines="50" w:after="156" w:line="360" w:lineRule="auto"/>
        <w:ind w:left="0" w:firstLine="0"/>
        <w:rPr>
          <w:rFonts w:ascii="仿宋" w:eastAsia="仿宋" w:hAnsi="仿宋"/>
          <w:b/>
          <w:sz w:val="28"/>
          <w:szCs w:val="28"/>
        </w:rPr>
      </w:pPr>
      <w:r w:rsidRPr="00A87947">
        <w:rPr>
          <w:rFonts w:ascii="仿宋" w:eastAsia="仿宋" w:hAnsi="仿宋" w:hint="eastAsia"/>
          <w:b/>
          <w:sz w:val="28"/>
          <w:szCs w:val="28"/>
        </w:rPr>
        <w:t>开放课题申请程序</w:t>
      </w:r>
    </w:p>
    <w:p w:rsidR="00A92BA7" w:rsidRPr="00A87947" w:rsidRDefault="00A92BA7" w:rsidP="00A87947">
      <w:pPr>
        <w:adjustRightInd w:val="0"/>
        <w:snapToGrid w:val="0"/>
        <w:spacing w:afterLines="50" w:after="156" w:line="360" w:lineRule="auto"/>
        <w:ind w:firstLineChars="200" w:firstLine="560"/>
        <w:rPr>
          <w:rFonts w:ascii="仿宋" w:eastAsia="仿宋" w:hAnsi="仿宋"/>
          <w:sz w:val="28"/>
          <w:szCs w:val="28"/>
        </w:rPr>
      </w:pPr>
      <w:r w:rsidRPr="00A87947">
        <w:rPr>
          <w:rFonts w:ascii="仿宋" w:eastAsia="仿宋" w:hAnsi="仿宋" w:hint="eastAsia"/>
          <w:sz w:val="28"/>
          <w:szCs w:val="28"/>
        </w:rPr>
        <w:t>研究方向、内容符合指南，可向重点实验室提出申请。</w:t>
      </w:r>
    </w:p>
    <w:p w:rsidR="00A92BA7" w:rsidRPr="00A87947" w:rsidRDefault="00A92BA7" w:rsidP="00A87947">
      <w:pPr>
        <w:numPr>
          <w:ilvl w:val="0"/>
          <w:numId w:val="4"/>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项目申请须以本重点实验室某研究组为依托，申请人每年在本室研究组内的工作时间每年不少于6个月。</w:t>
      </w:r>
    </w:p>
    <w:p w:rsidR="00A92BA7" w:rsidRPr="00A87947" w:rsidRDefault="00A92BA7" w:rsidP="00A87947">
      <w:pPr>
        <w:numPr>
          <w:ilvl w:val="0"/>
          <w:numId w:val="4"/>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申请人须为非本国家重点实验室成员，并优先资助具有博士学位的青年学者。</w:t>
      </w:r>
    </w:p>
    <w:p w:rsidR="00A92BA7" w:rsidRPr="00A87947" w:rsidRDefault="00A92BA7" w:rsidP="00A87947">
      <w:pPr>
        <w:numPr>
          <w:ilvl w:val="0"/>
          <w:numId w:val="4"/>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lastRenderedPageBreak/>
        <w:t>申请人可在“农业虫害鼠害综合治理研究国家重点实验室”网站（http://www.ipm.ioz.ac.cn/index.asp）下载《开放课题申请书》，并按规定的格式，认真、如实填写。第一申请人所在单位学术主管部门应签署意见，单位领导在申请书上签字并加盖单位公章。</w:t>
      </w:r>
    </w:p>
    <w:p w:rsidR="00A92BA7" w:rsidRPr="00A87947" w:rsidRDefault="00A92BA7" w:rsidP="00A87947">
      <w:pPr>
        <w:numPr>
          <w:ilvl w:val="0"/>
          <w:numId w:val="4"/>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课题申请书须提交</w:t>
      </w:r>
      <w:r w:rsidR="00A87947">
        <w:rPr>
          <w:rFonts w:ascii="仿宋" w:eastAsia="仿宋" w:hAnsi="仿宋" w:hint="eastAsia"/>
          <w:sz w:val="28"/>
          <w:szCs w:val="28"/>
        </w:rPr>
        <w:t>一</w:t>
      </w:r>
      <w:r w:rsidRPr="00A87947">
        <w:rPr>
          <w:rFonts w:ascii="仿宋" w:eastAsia="仿宋" w:hAnsi="仿宋" w:hint="eastAsia"/>
          <w:sz w:val="28"/>
          <w:szCs w:val="28"/>
        </w:rPr>
        <w:t>式两份；项目申请的截止日期为每年的1</w:t>
      </w:r>
      <w:r w:rsidR="00A87947" w:rsidRPr="00A87947">
        <w:rPr>
          <w:rFonts w:ascii="仿宋" w:eastAsia="仿宋" w:hAnsi="仿宋"/>
          <w:sz w:val="28"/>
          <w:szCs w:val="28"/>
        </w:rPr>
        <w:t>2</w:t>
      </w:r>
      <w:r w:rsidRPr="00A87947">
        <w:rPr>
          <w:rFonts w:ascii="仿宋" w:eastAsia="仿宋" w:hAnsi="仿宋" w:hint="eastAsia"/>
          <w:sz w:val="28"/>
          <w:szCs w:val="28"/>
        </w:rPr>
        <w:t>月31日；实验室在收到开放课题申请书后经实验室学术委员会评审，择优资助，同意资助票数须超过参加会议学术委员总数的2/3以上（不含2/3）。</w:t>
      </w:r>
    </w:p>
    <w:p w:rsidR="00A92BA7" w:rsidRPr="00A87947" w:rsidRDefault="00A92BA7" w:rsidP="00A87947">
      <w:pPr>
        <w:numPr>
          <w:ilvl w:val="0"/>
          <w:numId w:val="4"/>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凡向本实验室申请的开放课题，经批准后，实验室即向课题申请人寄送《课题批准通知书》，根据课题批准通知书的要求，在课题申请书的基础上，认真填写研究任务书，并在接到《课题批准通知》的一个月内将研究计划寄回。</w:t>
      </w:r>
    </w:p>
    <w:p w:rsidR="00A92BA7" w:rsidRPr="00A87947" w:rsidRDefault="00A92BA7" w:rsidP="00A87947">
      <w:pPr>
        <w:numPr>
          <w:ilvl w:val="0"/>
          <w:numId w:val="1"/>
        </w:numPr>
        <w:tabs>
          <w:tab w:val="clear" w:pos="1062"/>
          <w:tab w:val="num" w:pos="567"/>
        </w:tabs>
        <w:adjustRightInd w:val="0"/>
        <w:snapToGrid w:val="0"/>
        <w:spacing w:afterLines="50" w:after="156" w:line="360" w:lineRule="auto"/>
        <w:ind w:left="0" w:firstLine="0"/>
        <w:rPr>
          <w:rFonts w:ascii="仿宋" w:eastAsia="仿宋" w:hAnsi="仿宋"/>
          <w:b/>
          <w:sz w:val="28"/>
          <w:szCs w:val="28"/>
        </w:rPr>
      </w:pPr>
      <w:r w:rsidRPr="00A87947">
        <w:rPr>
          <w:rFonts w:ascii="仿宋" w:eastAsia="仿宋" w:hAnsi="仿宋" w:hint="eastAsia"/>
          <w:b/>
          <w:sz w:val="28"/>
          <w:szCs w:val="28"/>
        </w:rPr>
        <w:t>经费支持及项目管理办法</w:t>
      </w:r>
    </w:p>
    <w:p w:rsidR="00A92BA7" w:rsidRP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开放课题执行期2年。其中重点项目资助经费为10万元，面上项目资助经费为5万元。</w:t>
      </w:r>
    </w:p>
    <w:p w:rsidR="00A92BA7" w:rsidRP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每个研究组可依托在研重点项目不超过1项，在重点项目获批的下一年度，研究组还可申请依托1项面上项目</w:t>
      </w:r>
    </w:p>
    <w:p w:rsidR="00A92BA7" w:rsidRP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开放经费主要用于有关科研业务费、实验材料费、小型专用仪器费以及京外客座人员来京的往返交通费、住宿费、生活补助费等。</w:t>
      </w:r>
    </w:p>
    <w:p w:rsid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开放课题负责人，可以无偿使用本室公用仪器，由此产生的配件、试剂、耗材费由课题负责人承担。利用开放课题经费</w:t>
      </w:r>
      <w:r w:rsidRPr="00A87947">
        <w:rPr>
          <w:rFonts w:ascii="仿宋" w:eastAsia="仿宋" w:hAnsi="仿宋" w:hint="eastAsia"/>
          <w:sz w:val="28"/>
          <w:szCs w:val="28"/>
        </w:rPr>
        <w:lastRenderedPageBreak/>
        <w:t>购置的小型仪器设备，归属本组。</w:t>
      </w:r>
    </w:p>
    <w:p w:rsidR="00A92BA7" w:rsidRP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计划实施中，涉及降低预期目标，减少内容，中止计划实施，课题负责人须提出申请报告，并经同意后才可进行；</w:t>
      </w:r>
    </w:p>
    <w:p w:rsidR="00A92BA7" w:rsidRP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研究计划执行中，课题负责人每年须填写《年度进展报告》，经所属单位签署意见后，按要求的时间报送本实验室，对不报送《年度进展报告》或工作无进展的将中止课题；</w:t>
      </w:r>
    </w:p>
    <w:p w:rsidR="00A92BA7" w:rsidRP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 xml:space="preserve">课题结题后，课题负责人应认真撰写《课题总结报告》， </w:t>
      </w:r>
    </w:p>
    <w:p w:rsidR="00A92BA7" w:rsidRP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如某研究组上一个课题已结题，但未达到考核要求，则申请或批准的新开放课题直至上一课题达到考核要求后方可开题。</w:t>
      </w:r>
    </w:p>
    <w:p w:rsidR="00A92BA7" w:rsidRPr="00A87947" w:rsidRDefault="00A92BA7" w:rsidP="00A87947">
      <w:pPr>
        <w:numPr>
          <w:ilvl w:val="0"/>
          <w:numId w:val="6"/>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如果项目到期后一年尚未完成者，视</w:t>
      </w:r>
      <w:r w:rsidR="00A87947">
        <w:rPr>
          <w:rFonts w:ascii="仿宋" w:eastAsia="仿宋" w:hAnsi="仿宋" w:hint="eastAsia"/>
          <w:sz w:val="28"/>
          <w:szCs w:val="28"/>
        </w:rPr>
        <w:t>为</w:t>
      </w:r>
      <w:r w:rsidRPr="00A87947">
        <w:rPr>
          <w:rFonts w:ascii="仿宋" w:eastAsia="仿宋" w:hAnsi="仿宋" w:hint="eastAsia"/>
          <w:sz w:val="28"/>
          <w:szCs w:val="28"/>
        </w:rPr>
        <w:t>未完成项目，停拨剩余的经费。</w:t>
      </w:r>
    </w:p>
    <w:p w:rsidR="00A92BA7" w:rsidRPr="00A87947" w:rsidRDefault="00A92BA7" w:rsidP="00A87947">
      <w:pPr>
        <w:numPr>
          <w:ilvl w:val="0"/>
          <w:numId w:val="1"/>
        </w:numPr>
        <w:tabs>
          <w:tab w:val="clear" w:pos="1062"/>
          <w:tab w:val="num" w:pos="567"/>
        </w:tabs>
        <w:adjustRightInd w:val="0"/>
        <w:snapToGrid w:val="0"/>
        <w:spacing w:afterLines="50" w:after="156" w:line="360" w:lineRule="auto"/>
        <w:ind w:left="0" w:firstLine="0"/>
        <w:rPr>
          <w:rFonts w:ascii="仿宋" w:eastAsia="仿宋" w:hAnsi="仿宋"/>
          <w:b/>
          <w:sz w:val="28"/>
          <w:szCs w:val="28"/>
        </w:rPr>
      </w:pPr>
      <w:r w:rsidRPr="00A87947">
        <w:rPr>
          <w:rFonts w:ascii="仿宋" w:eastAsia="仿宋" w:hAnsi="仿宋" w:hint="eastAsia"/>
          <w:b/>
          <w:sz w:val="28"/>
          <w:szCs w:val="28"/>
        </w:rPr>
        <w:t>开放课题结题和考核办法</w:t>
      </w:r>
    </w:p>
    <w:p w:rsidR="00A92BA7" w:rsidRPr="00A87947" w:rsidRDefault="00A92BA7" w:rsidP="00A87947">
      <w:pPr>
        <w:numPr>
          <w:ilvl w:val="0"/>
          <w:numId w:val="5"/>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学术委员会评阅课题结题报告，对课题提出验收意见；</w:t>
      </w:r>
    </w:p>
    <w:p w:rsidR="00A92BA7" w:rsidRPr="00A87947" w:rsidRDefault="00A92BA7" w:rsidP="00A87947">
      <w:pPr>
        <w:numPr>
          <w:ilvl w:val="0"/>
          <w:numId w:val="5"/>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至少发表SCI源论文一篇（以正式发表文章或proof为准）：</w:t>
      </w:r>
    </w:p>
    <w:p w:rsidR="00A92BA7" w:rsidRPr="00A87947" w:rsidRDefault="00A92BA7" w:rsidP="00A87947">
      <w:pPr>
        <w:numPr>
          <w:ilvl w:val="0"/>
          <w:numId w:val="5"/>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研究论文内容须与项目研究内容相符；</w:t>
      </w:r>
    </w:p>
    <w:p w:rsidR="00A92BA7" w:rsidRPr="00A87947" w:rsidRDefault="00A92BA7" w:rsidP="00A87947">
      <w:pPr>
        <w:numPr>
          <w:ilvl w:val="0"/>
          <w:numId w:val="5"/>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论文作者单位须标注农业虫害鼠害综合治理研究国家重点实验室。外单位的客座研究人员标注两个单位。</w:t>
      </w:r>
    </w:p>
    <w:p w:rsidR="00A92BA7" w:rsidRPr="00A87947" w:rsidRDefault="00A92BA7" w:rsidP="00A87947">
      <w:pPr>
        <w:numPr>
          <w:ilvl w:val="0"/>
          <w:numId w:val="5"/>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t>SCI源论文，英文致谢中须标有 Supported by The State Key Laboratory of Integrated Management of Pest Insects and Rodents(Grant No. XXXX—XX)；中文资助项目栏，须标明得到农业虫害鼠害综合治理研究国家重点实验室开放研究基金资助项目（项目号）支持。</w:t>
      </w:r>
    </w:p>
    <w:p w:rsidR="00A92BA7" w:rsidRPr="00A87947" w:rsidRDefault="00A92BA7" w:rsidP="00A87947">
      <w:pPr>
        <w:numPr>
          <w:ilvl w:val="0"/>
          <w:numId w:val="5"/>
        </w:numPr>
        <w:adjustRightInd w:val="0"/>
        <w:snapToGrid w:val="0"/>
        <w:spacing w:afterLines="50" w:after="156" w:line="360" w:lineRule="auto"/>
        <w:rPr>
          <w:rFonts w:ascii="仿宋" w:eastAsia="仿宋" w:hAnsi="仿宋"/>
          <w:sz w:val="28"/>
          <w:szCs w:val="28"/>
        </w:rPr>
      </w:pPr>
      <w:r w:rsidRPr="00A87947">
        <w:rPr>
          <w:rFonts w:ascii="仿宋" w:eastAsia="仿宋" w:hAnsi="仿宋" w:hint="eastAsia"/>
          <w:sz w:val="28"/>
          <w:szCs w:val="28"/>
        </w:rPr>
        <w:lastRenderedPageBreak/>
        <w:t>本指南从2013年12月15日开始执行。</w:t>
      </w:r>
    </w:p>
    <w:p w:rsidR="00A92BA7" w:rsidRPr="00A87947" w:rsidRDefault="00A92BA7" w:rsidP="00A87947">
      <w:pPr>
        <w:adjustRightInd w:val="0"/>
        <w:snapToGrid w:val="0"/>
        <w:spacing w:afterLines="50" w:after="156" w:line="360" w:lineRule="auto"/>
        <w:ind w:left="567"/>
        <w:rPr>
          <w:rFonts w:ascii="仿宋" w:eastAsia="仿宋" w:hAnsi="仿宋"/>
          <w:sz w:val="28"/>
          <w:szCs w:val="28"/>
        </w:rPr>
      </w:pPr>
    </w:p>
    <w:p w:rsidR="00A92BA7" w:rsidRPr="00A87947" w:rsidRDefault="00A92BA7" w:rsidP="00A87947">
      <w:pPr>
        <w:adjustRightInd w:val="0"/>
        <w:snapToGrid w:val="0"/>
        <w:spacing w:afterLines="50" w:after="156" w:line="360" w:lineRule="auto"/>
        <w:ind w:left="567"/>
        <w:rPr>
          <w:rFonts w:ascii="仿宋" w:eastAsia="仿宋" w:hAnsi="仿宋"/>
          <w:sz w:val="28"/>
          <w:szCs w:val="28"/>
        </w:rPr>
      </w:pPr>
      <w:r w:rsidRPr="00A87947">
        <w:rPr>
          <w:rFonts w:ascii="仿宋" w:eastAsia="仿宋" w:hAnsi="仿宋" w:hint="eastAsia"/>
          <w:sz w:val="28"/>
          <w:szCs w:val="28"/>
        </w:rPr>
        <w:t>联系人：任珊珊</w:t>
      </w:r>
    </w:p>
    <w:p w:rsidR="00A92BA7" w:rsidRPr="00A87947" w:rsidRDefault="00A92BA7" w:rsidP="00A87947">
      <w:pPr>
        <w:adjustRightInd w:val="0"/>
        <w:snapToGrid w:val="0"/>
        <w:spacing w:afterLines="50" w:after="156" w:line="360" w:lineRule="auto"/>
        <w:ind w:left="567"/>
        <w:rPr>
          <w:rFonts w:ascii="仿宋" w:eastAsia="仿宋" w:hAnsi="仿宋"/>
          <w:sz w:val="28"/>
          <w:szCs w:val="28"/>
        </w:rPr>
      </w:pPr>
      <w:r w:rsidRPr="00A87947">
        <w:rPr>
          <w:rFonts w:ascii="仿宋" w:eastAsia="仿宋" w:hAnsi="仿宋" w:hint="eastAsia"/>
          <w:sz w:val="28"/>
          <w:szCs w:val="28"/>
        </w:rPr>
        <w:t>电话：010-64807068</w:t>
      </w:r>
    </w:p>
    <w:p w:rsidR="00A92BA7" w:rsidRPr="00A87947" w:rsidRDefault="00A92BA7" w:rsidP="00A87947">
      <w:pPr>
        <w:adjustRightInd w:val="0"/>
        <w:snapToGrid w:val="0"/>
        <w:spacing w:afterLines="50" w:after="156" w:line="360" w:lineRule="auto"/>
        <w:ind w:left="567"/>
        <w:rPr>
          <w:rFonts w:ascii="仿宋" w:eastAsia="仿宋" w:hAnsi="仿宋"/>
          <w:sz w:val="28"/>
          <w:szCs w:val="28"/>
        </w:rPr>
      </w:pPr>
      <w:r w:rsidRPr="00A87947">
        <w:rPr>
          <w:rFonts w:ascii="仿宋" w:eastAsia="仿宋" w:hAnsi="仿宋" w:hint="eastAsia"/>
          <w:sz w:val="28"/>
          <w:szCs w:val="28"/>
        </w:rPr>
        <w:t>传真：010-64807099</w:t>
      </w:r>
    </w:p>
    <w:p w:rsidR="00A92BA7" w:rsidRPr="00A87947" w:rsidRDefault="00A92BA7" w:rsidP="00A87947">
      <w:pPr>
        <w:adjustRightInd w:val="0"/>
        <w:snapToGrid w:val="0"/>
        <w:spacing w:afterLines="50" w:after="156" w:line="360" w:lineRule="auto"/>
        <w:ind w:left="567"/>
        <w:rPr>
          <w:rFonts w:ascii="仿宋" w:eastAsia="仿宋" w:hAnsi="仿宋"/>
          <w:sz w:val="28"/>
          <w:szCs w:val="28"/>
        </w:rPr>
      </w:pPr>
      <w:r w:rsidRPr="00A87947">
        <w:rPr>
          <w:rFonts w:ascii="仿宋" w:eastAsia="仿宋" w:hAnsi="仿宋" w:hint="eastAsia"/>
          <w:sz w:val="28"/>
          <w:szCs w:val="28"/>
        </w:rPr>
        <w:t>通讯地址：北京市朝阳区大屯路乙5号</w:t>
      </w:r>
    </w:p>
    <w:p w:rsidR="00A92BA7" w:rsidRPr="00A87947" w:rsidRDefault="00A92BA7" w:rsidP="00A87947">
      <w:pPr>
        <w:adjustRightInd w:val="0"/>
        <w:snapToGrid w:val="0"/>
        <w:spacing w:afterLines="50" w:after="156" w:line="360" w:lineRule="auto"/>
        <w:ind w:leftChars="270" w:left="567" w:firstLineChars="500" w:firstLine="1400"/>
        <w:rPr>
          <w:rFonts w:ascii="仿宋" w:eastAsia="仿宋" w:hAnsi="仿宋"/>
          <w:sz w:val="28"/>
          <w:szCs w:val="28"/>
        </w:rPr>
      </w:pPr>
      <w:r w:rsidRPr="00A87947">
        <w:rPr>
          <w:rFonts w:ascii="仿宋" w:eastAsia="仿宋" w:hAnsi="仿宋" w:hint="eastAsia"/>
          <w:sz w:val="28"/>
          <w:szCs w:val="28"/>
        </w:rPr>
        <w:t>中科院动物研究所108信箱</w:t>
      </w:r>
    </w:p>
    <w:p w:rsidR="00A92BA7" w:rsidRPr="00A87947" w:rsidRDefault="00A92BA7" w:rsidP="00A87947">
      <w:pPr>
        <w:adjustRightInd w:val="0"/>
        <w:snapToGrid w:val="0"/>
        <w:spacing w:afterLines="50" w:after="156" w:line="360" w:lineRule="auto"/>
        <w:ind w:left="567"/>
        <w:rPr>
          <w:rFonts w:ascii="仿宋" w:eastAsia="仿宋" w:hAnsi="仿宋"/>
          <w:sz w:val="28"/>
          <w:szCs w:val="28"/>
        </w:rPr>
      </w:pPr>
      <w:r w:rsidRPr="00A87947">
        <w:rPr>
          <w:rFonts w:ascii="仿宋" w:eastAsia="仿宋" w:hAnsi="仿宋" w:hint="eastAsia"/>
          <w:sz w:val="28"/>
          <w:szCs w:val="28"/>
        </w:rPr>
        <w:t>电子邮箱：ipmlab@ioz.ac.cn</w:t>
      </w:r>
    </w:p>
    <w:p w:rsidR="00A92BA7" w:rsidRDefault="00A92BA7" w:rsidP="00A92BA7">
      <w:pPr>
        <w:adjustRightInd w:val="0"/>
        <w:snapToGrid w:val="0"/>
        <w:spacing w:line="500" w:lineRule="exact"/>
        <w:ind w:firstLineChars="200" w:firstLine="480"/>
        <w:rPr>
          <w:rFonts w:ascii="微软雅黑" w:eastAsia="微软雅黑" w:hAnsi="微软雅黑" w:cs="Arial"/>
          <w:bCs/>
          <w:sz w:val="24"/>
        </w:rPr>
      </w:pPr>
    </w:p>
    <w:p w:rsidR="00A87947" w:rsidRDefault="00A87947" w:rsidP="00A87947">
      <w:pPr>
        <w:adjustRightInd w:val="0"/>
        <w:snapToGrid w:val="0"/>
        <w:spacing w:afterLines="50" w:after="156" w:line="360" w:lineRule="auto"/>
        <w:ind w:firstLineChars="1063" w:firstLine="2976"/>
        <w:jc w:val="center"/>
        <w:rPr>
          <w:rFonts w:ascii="仿宋_GB2312" w:eastAsia="仿宋_GB2312" w:hAnsi="Arial" w:cs="Arial"/>
          <w:sz w:val="28"/>
          <w:szCs w:val="28"/>
        </w:rPr>
      </w:pPr>
      <w:r>
        <w:rPr>
          <w:rFonts w:ascii="仿宋_GB2312" w:eastAsia="仿宋_GB2312" w:hAnsi="Arial" w:cs="Arial" w:hint="eastAsia"/>
          <w:sz w:val="28"/>
          <w:szCs w:val="28"/>
        </w:rPr>
        <w:t>农业虫害鼠害综合治理研究国家重点实验室</w:t>
      </w:r>
    </w:p>
    <w:p w:rsidR="00A87947" w:rsidRPr="00BD01F5" w:rsidRDefault="00A87947" w:rsidP="00A87947">
      <w:pPr>
        <w:adjustRightInd w:val="0"/>
        <w:snapToGrid w:val="0"/>
        <w:spacing w:afterLines="50" w:after="156" w:line="360" w:lineRule="auto"/>
        <w:ind w:firstLineChars="1063" w:firstLine="2976"/>
        <w:jc w:val="center"/>
        <w:rPr>
          <w:rFonts w:ascii="仿宋_GB2312" w:eastAsia="仿宋_GB2312" w:hAnsi="Arial" w:cs="Arial" w:hint="eastAsia"/>
          <w:sz w:val="28"/>
          <w:szCs w:val="28"/>
        </w:rPr>
      </w:pPr>
      <w:r>
        <w:rPr>
          <w:rFonts w:ascii="仿宋_GB2312" w:eastAsia="仿宋_GB2312" w:hAnsi="Arial" w:cs="Arial" w:hint="eastAsia"/>
          <w:sz w:val="28"/>
          <w:szCs w:val="28"/>
        </w:rPr>
        <w:t>二零</w:t>
      </w:r>
      <w:r>
        <w:rPr>
          <w:rFonts w:ascii="仿宋_GB2312" w:eastAsia="仿宋_GB2312" w:hAnsi="Arial" w:cs="Arial" w:hint="eastAsia"/>
          <w:sz w:val="28"/>
          <w:szCs w:val="28"/>
        </w:rPr>
        <w:t>一三</w:t>
      </w:r>
      <w:r>
        <w:rPr>
          <w:rFonts w:ascii="仿宋_GB2312" w:eastAsia="仿宋_GB2312" w:hAnsi="Arial" w:cs="Arial" w:hint="eastAsia"/>
          <w:sz w:val="28"/>
          <w:szCs w:val="28"/>
        </w:rPr>
        <w:t>年</w:t>
      </w:r>
      <w:r>
        <w:rPr>
          <w:rFonts w:ascii="仿宋_GB2312" w:eastAsia="仿宋_GB2312" w:hAnsi="Arial" w:cs="Arial" w:hint="eastAsia"/>
          <w:sz w:val="28"/>
          <w:szCs w:val="28"/>
        </w:rPr>
        <w:t>十二</w:t>
      </w:r>
      <w:r>
        <w:rPr>
          <w:rFonts w:ascii="仿宋_GB2312" w:eastAsia="仿宋_GB2312" w:hAnsi="Arial" w:cs="Arial" w:hint="eastAsia"/>
          <w:sz w:val="28"/>
          <w:szCs w:val="28"/>
        </w:rPr>
        <w:t>月</w:t>
      </w:r>
      <w:r>
        <w:rPr>
          <w:rFonts w:ascii="仿宋_GB2312" w:eastAsia="仿宋_GB2312" w:hAnsi="Arial" w:cs="Arial" w:hint="eastAsia"/>
          <w:sz w:val="28"/>
          <w:szCs w:val="28"/>
        </w:rPr>
        <w:t>十五</w:t>
      </w:r>
      <w:r>
        <w:rPr>
          <w:rFonts w:ascii="仿宋_GB2312" w:eastAsia="仿宋_GB2312" w:hAnsi="Arial" w:cs="Arial" w:hint="eastAsia"/>
          <w:sz w:val="28"/>
          <w:szCs w:val="28"/>
        </w:rPr>
        <w:t>日</w:t>
      </w:r>
    </w:p>
    <w:p w:rsidR="00A92BA7" w:rsidRPr="00A87947" w:rsidRDefault="00A92BA7" w:rsidP="00A92BA7">
      <w:pPr>
        <w:adjustRightInd w:val="0"/>
        <w:snapToGrid w:val="0"/>
        <w:spacing w:line="500" w:lineRule="exact"/>
        <w:ind w:firstLineChars="200" w:firstLine="480"/>
        <w:rPr>
          <w:rFonts w:ascii="微软雅黑" w:eastAsia="微软雅黑" w:hAnsi="微软雅黑" w:cs="Arial"/>
          <w:bCs/>
          <w:sz w:val="24"/>
        </w:rPr>
      </w:pPr>
      <w:bookmarkStart w:id="0" w:name="_GoBack"/>
      <w:bookmarkEnd w:id="0"/>
    </w:p>
    <w:sectPr w:rsidR="00A92BA7" w:rsidRPr="00A879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EFC" w:rsidRDefault="00095EFC" w:rsidP="00A87947">
      <w:r>
        <w:separator/>
      </w:r>
    </w:p>
  </w:endnote>
  <w:endnote w:type="continuationSeparator" w:id="0">
    <w:p w:rsidR="00095EFC" w:rsidRDefault="00095EFC" w:rsidP="00A8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EFC" w:rsidRDefault="00095EFC" w:rsidP="00A87947">
      <w:r>
        <w:separator/>
      </w:r>
    </w:p>
  </w:footnote>
  <w:footnote w:type="continuationSeparator" w:id="0">
    <w:p w:rsidR="00095EFC" w:rsidRDefault="00095EFC" w:rsidP="00A87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1B0"/>
    <w:multiLevelType w:val="hybridMultilevel"/>
    <w:tmpl w:val="BD1E9A60"/>
    <w:lvl w:ilvl="0" w:tplc="618005A6">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9E76483"/>
    <w:multiLevelType w:val="hybridMultilevel"/>
    <w:tmpl w:val="76BA2172"/>
    <w:lvl w:ilvl="0" w:tplc="0409000F">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7A10A2B"/>
    <w:multiLevelType w:val="hybridMultilevel"/>
    <w:tmpl w:val="29A2AA8A"/>
    <w:lvl w:ilvl="0" w:tplc="1EA4E240">
      <w:start w:val="1"/>
      <w:numFmt w:val="chineseCountingThousand"/>
      <w:lvlText w:val="%1、"/>
      <w:lvlJc w:val="left"/>
      <w:pPr>
        <w:tabs>
          <w:tab w:val="num" w:pos="1062"/>
        </w:tabs>
        <w:ind w:left="1062" w:hanging="436"/>
      </w:pPr>
      <w:rPr>
        <w:rFonts w:hint="eastAsia"/>
      </w:rPr>
    </w:lvl>
    <w:lvl w:ilvl="1" w:tplc="04090001">
      <w:start w:val="1"/>
      <w:numFmt w:val="bullet"/>
      <w:lvlText w:val=""/>
      <w:lvlJc w:val="left"/>
      <w:pPr>
        <w:tabs>
          <w:tab w:val="num" w:pos="1182"/>
        </w:tabs>
        <w:ind w:left="1182" w:hanging="420"/>
      </w:pPr>
      <w:rPr>
        <w:rFonts w:ascii="Wingdings" w:hAnsi="Wingdings" w:hint="default"/>
      </w:rPr>
    </w:lvl>
    <w:lvl w:ilvl="2" w:tplc="0409001B">
      <w:start w:val="1"/>
      <w:numFmt w:val="lowerRoman"/>
      <w:lvlText w:val="%3."/>
      <w:lvlJc w:val="righ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9" w:tentative="1">
      <w:start w:val="1"/>
      <w:numFmt w:val="lowerLetter"/>
      <w:lvlText w:val="%5)"/>
      <w:lvlJc w:val="left"/>
      <w:pPr>
        <w:tabs>
          <w:tab w:val="num" w:pos="2442"/>
        </w:tabs>
        <w:ind w:left="2442" w:hanging="420"/>
      </w:pPr>
    </w:lvl>
    <w:lvl w:ilvl="5" w:tplc="0409001B" w:tentative="1">
      <w:start w:val="1"/>
      <w:numFmt w:val="lowerRoman"/>
      <w:lvlText w:val="%6."/>
      <w:lvlJc w:val="righ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9" w:tentative="1">
      <w:start w:val="1"/>
      <w:numFmt w:val="lowerLetter"/>
      <w:lvlText w:val="%8)"/>
      <w:lvlJc w:val="left"/>
      <w:pPr>
        <w:tabs>
          <w:tab w:val="num" w:pos="3702"/>
        </w:tabs>
        <w:ind w:left="3702" w:hanging="420"/>
      </w:pPr>
    </w:lvl>
    <w:lvl w:ilvl="8" w:tplc="0409001B" w:tentative="1">
      <w:start w:val="1"/>
      <w:numFmt w:val="lowerRoman"/>
      <w:lvlText w:val="%9."/>
      <w:lvlJc w:val="right"/>
      <w:pPr>
        <w:tabs>
          <w:tab w:val="num" w:pos="4122"/>
        </w:tabs>
        <w:ind w:left="4122" w:hanging="420"/>
      </w:pPr>
    </w:lvl>
  </w:abstractNum>
  <w:abstractNum w:abstractNumId="3" w15:restartNumberingAfterBreak="0">
    <w:nsid w:val="5FA507EC"/>
    <w:multiLevelType w:val="hybridMultilevel"/>
    <w:tmpl w:val="36AA97F4"/>
    <w:lvl w:ilvl="0" w:tplc="DE6A2194">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4171D13"/>
    <w:multiLevelType w:val="hybridMultilevel"/>
    <w:tmpl w:val="76BA2172"/>
    <w:lvl w:ilvl="0" w:tplc="0409000F">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57E2C09"/>
    <w:multiLevelType w:val="hybridMultilevel"/>
    <w:tmpl w:val="76BA2172"/>
    <w:lvl w:ilvl="0" w:tplc="0409000F">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A7"/>
    <w:rsid w:val="00095EFC"/>
    <w:rsid w:val="00A87947"/>
    <w:rsid w:val="00A92BA7"/>
    <w:rsid w:val="00E20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744EB"/>
  <w15:docId w15:val="{CC8EB72E-655F-428B-92FF-054A328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9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947"/>
    <w:rPr>
      <w:rFonts w:ascii="Times New Roman" w:eastAsia="宋体" w:hAnsi="Times New Roman" w:cs="Times New Roman"/>
      <w:sz w:val="18"/>
      <w:szCs w:val="18"/>
    </w:rPr>
  </w:style>
  <w:style w:type="paragraph" w:styleId="a5">
    <w:name w:val="footer"/>
    <w:basedOn w:val="a"/>
    <w:link w:val="a6"/>
    <w:uiPriority w:val="99"/>
    <w:unhideWhenUsed/>
    <w:rsid w:val="00A87947"/>
    <w:pPr>
      <w:tabs>
        <w:tab w:val="center" w:pos="4153"/>
        <w:tab w:val="right" w:pos="8306"/>
      </w:tabs>
      <w:snapToGrid w:val="0"/>
      <w:jc w:val="left"/>
    </w:pPr>
    <w:rPr>
      <w:sz w:val="18"/>
      <w:szCs w:val="18"/>
    </w:rPr>
  </w:style>
  <w:style w:type="character" w:customStyle="1" w:styleId="a6">
    <w:name w:val="页脚 字符"/>
    <w:basedOn w:val="a0"/>
    <w:link w:val="a5"/>
    <w:uiPriority w:val="99"/>
    <w:rsid w:val="00A8794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renss</dc:creator>
  <cp:lastModifiedBy>renss</cp:lastModifiedBy>
  <cp:revision>2</cp:revision>
  <dcterms:created xsi:type="dcterms:W3CDTF">2015-12-28T02:22:00Z</dcterms:created>
  <dcterms:modified xsi:type="dcterms:W3CDTF">2016-10-14T07:33:00Z</dcterms:modified>
</cp:coreProperties>
</file>