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7F3" w:rsidRDefault="005857F3" w:rsidP="005857F3">
      <w:pPr>
        <w:adjustRightInd w:val="0"/>
        <w:snapToGrid w:val="0"/>
        <w:spacing w:line="360" w:lineRule="auto"/>
        <w:jc w:val="center"/>
        <w:rPr>
          <w:rFonts w:ascii="华文新魏" w:eastAsia="华文新魏" w:hAnsi="Times New Roman" w:cs="Times New Roman"/>
          <w:sz w:val="36"/>
          <w:szCs w:val="36"/>
        </w:rPr>
      </w:pPr>
      <w:r>
        <w:rPr>
          <w:rFonts w:ascii="华文新魏" w:eastAsia="华文新魏" w:hAnsi="Times New Roman" w:cs="Times New Roman" w:hint="eastAsia"/>
          <w:sz w:val="36"/>
          <w:szCs w:val="36"/>
        </w:rPr>
        <w:t>农业虫害鼠害综合治理研究国家重点实验室</w:t>
      </w:r>
    </w:p>
    <w:p w:rsidR="00C74BDE" w:rsidRPr="005857F3" w:rsidRDefault="00C74BDE" w:rsidP="005857F3">
      <w:pPr>
        <w:adjustRightInd w:val="0"/>
        <w:snapToGrid w:val="0"/>
        <w:spacing w:line="360" w:lineRule="auto"/>
        <w:jc w:val="center"/>
        <w:rPr>
          <w:rFonts w:ascii="华文新魏" w:eastAsia="华文新魏" w:hAnsi="Times New Roman" w:cs="Times New Roman"/>
          <w:sz w:val="36"/>
          <w:szCs w:val="36"/>
        </w:rPr>
      </w:pPr>
      <w:r w:rsidRPr="005857F3">
        <w:rPr>
          <w:rFonts w:ascii="华文新魏" w:eastAsia="华文新魏" w:hAnsi="Times New Roman" w:cs="Times New Roman" w:hint="eastAsia"/>
          <w:sz w:val="36"/>
          <w:szCs w:val="36"/>
        </w:rPr>
        <w:t>研究生培养管理条例</w:t>
      </w:r>
    </w:p>
    <w:p w:rsidR="00C74BDE" w:rsidRPr="005857F3" w:rsidRDefault="00C74BDE" w:rsidP="005857F3">
      <w:pPr>
        <w:adjustRightInd w:val="0"/>
        <w:snapToGrid w:val="0"/>
        <w:spacing w:afterLines="50" w:after="156" w:line="360" w:lineRule="auto"/>
        <w:jc w:val="center"/>
        <w:rPr>
          <w:rFonts w:ascii="仿宋_GB2312" w:eastAsia="仿宋_GB2312" w:hAnsi="Arial" w:cs="Arial"/>
          <w:b/>
          <w:sz w:val="28"/>
          <w:szCs w:val="28"/>
        </w:rPr>
      </w:pPr>
      <w:r w:rsidRPr="005857F3">
        <w:rPr>
          <w:rFonts w:ascii="仿宋_GB2312" w:eastAsia="仿宋_GB2312" w:hAnsi="Arial" w:cs="Arial" w:hint="eastAsia"/>
          <w:b/>
          <w:sz w:val="28"/>
          <w:szCs w:val="28"/>
        </w:rPr>
        <w:t>第一章</w:t>
      </w:r>
      <w:r w:rsidRPr="005857F3">
        <w:rPr>
          <w:rFonts w:ascii="仿宋_GB2312" w:eastAsia="仿宋_GB2312" w:hAnsi="Arial" w:cs="Arial" w:hint="eastAsia"/>
          <w:b/>
          <w:sz w:val="28"/>
          <w:szCs w:val="28"/>
        </w:rPr>
        <w:t>  </w:t>
      </w:r>
      <w:r w:rsidRPr="005857F3">
        <w:rPr>
          <w:rFonts w:ascii="仿宋_GB2312" w:eastAsia="仿宋_GB2312" w:hAnsi="Arial" w:cs="Arial" w:hint="eastAsia"/>
          <w:b/>
          <w:sz w:val="28"/>
          <w:szCs w:val="28"/>
        </w:rPr>
        <w:t>总</w:t>
      </w:r>
      <w:r w:rsidRPr="005857F3">
        <w:rPr>
          <w:rFonts w:ascii="仿宋_GB2312" w:eastAsia="仿宋_GB2312" w:hAnsi="Arial" w:cs="Arial" w:hint="eastAsia"/>
          <w:b/>
          <w:sz w:val="28"/>
          <w:szCs w:val="28"/>
        </w:rPr>
        <w:t>  </w:t>
      </w:r>
      <w:r w:rsidRPr="005857F3">
        <w:rPr>
          <w:rFonts w:ascii="仿宋_GB2312" w:eastAsia="仿宋_GB2312" w:hAnsi="Arial" w:cs="Arial" w:hint="eastAsia"/>
          <w:b/>
          <w:sz w:val="28"/>
          <w:szCs w:val="28"/>
        </w:rPr>
        <w:t>则</w:t>
      </w:r>
    </w:p>
    <w:p w:rsidR="00C74BDE" w:rsidRPr="005857F3" w:rsidRDefault="00C74BDE" w:rsidP="005857F3">
      <w:pPr>
        <w:adjustRightInd w:val="0"/>
        <w:snapToGrid w:val="0"/>
        <w:spacing w:afterLines="50" w:after="156" w:line="360" w:lineRule="auto"/>
        <w:ind w:firstLineChars="200" w:firstLine="560"/>
        <w:rPr>
          <w:rFonts w:ascii="仿宋_GB2312" w:eastAsia="仿宋_GB2312" w:hAnsi="Arial" w:cs="Arial"/>
          <w:sz w:val="28"/>
          <w:szCs w:val="28"/>
        </w:rPr>
      </w:pPr>
      <w:r w:rsidRPr="005857F3">
        <w:rPr>
          <w:rFonts w:ascii="仿宋_GB2312" w:eastAsia="仿宋_GB2312" w:hAnsi="Arial" w:cs="Arial" w:hint="eastAsia"/>
          <w:sz w:val="28"/>
          <w:szCs w:val="28"/>
        </w:rPr>
        <w:t>第一条</w:t>
      </w:r>
      <w:r w:rsidRPr="005857F3">
        <w:rPr>
          <w:rFonts w:ascii="仿宋_GB2312" w:eastAsia="仿宋_GB2312" w:hAnsi="Arial" w:cs="Arial"/>
          <w:sz w:val="28"/>
          <w:szCs w:val="28"/>
        </w:rPr>
        <w:t> </w:t>
      </w:r>
      <w:r w:rsidRPr="005857F3">
        <w:rPr>
          <w:rFonts w:ascii="仿宋_GB2312" w:eastAsia="仿宋_GB2312" w:hAnsi="Arial" w:cs="Arial"/>
          <w:sz w:val="28"/>
          <w:szCs w:val="28"/>
        </w:rPr>
        <w:t xml:space="preserve"> </w:t>
      </w:r>
      <w:r w:rsidRPr="005857F3">
        <w:rPr>
          <w:rFonts w:ascii="仿宋_GB2312" w:eastAsia="仿宋_GB2312" w:hAnsi="Arial" w:cs="Arial" w:hint="eastAsia"/>
          <w:sz w:val="28"/>
          <w:szCs w:val="28"/>
        </w:rPr>
        <w:t>为全面提升国家重点实验室研究生培养质量，践行“博学笃志、格物明德”的院训，培养造就德、智、体全面发展和满足国家和社会需求的高素质人才，实验室应建立研究生培养指导小组,负责研究生培养的全过程。现根据《中国科学院研究生学生管理规定》（院发学字[2008]80号）等相关文件精神，结合实际情况，特制定本条例。</w:t>
      </w:r>
    </w:p>
    <w:p w:rsidR="00C74BDE" w:rsidRPr="005857F3" w:rsidRDefault="00C74BDE" w:rsidP="005857F3">
      <w:pPr>
        <w:adjustRightInd w:val="0"/>
        <w:snapToGrid w:val="0"/>
        <w:spacing w:afterLines="50" w:after="156" w:line="360" w:lineRule="auto"/>
        <w:jc w:val="center"/>
        <w:rPr>
          <w:rFonts w:ascii="仿宋_GB2312" w:eastAsia="仿宋_GB2312" w:hAnsi="Arial" w:cs="Arial"/>
          <w:b/>
          <w:sz w:val="28"/>
          <w:szCs w:val="28"/>
        </w:rPr>
      </w:pPr>
      <w:r w:rsidRPr="005857F3">
        <w:rPr>
          <w:rFonts w:ascii="仿宋_GB2312" w:eastAsia="仿宋_GB2312" w:hAnsi="Arial" w:cs="Arial" w:hint="eastAsia"/>
          <w:b/>
          <w:sz w:val="28"/>
          <w:szCs w:val="28"/>
        </w:rPr>
        <w:t>第二章</w:t>
      </w:r>
      <w:r w:rsidRPr="005857F3">
        <w:rPr>
          <w:rFonts w:ascii="仿宋_GB2312" w:eastAsia="仿宋_GB2312" w:hAnsi="Arial" w:cs="Arial"/>
          <w:b/>
          <w:sz w:val="28"/>
          <w:szCs w:val="28"/>
        </w:rPr>
        <w:t>  </w:t>
      </w:r>
      <w:r w:rsidRPr="005857F3">
        <w:rPr>
          <w:rFonts w:ascii="仿宋_GB2312" w:eastAsia="仿宋_GB2312" w:hAnsi="Arial" w:cs="Arial" w:hint="eastAsia"/>
          <w:b/>
          <w:sz w:val="28"/>
          <w:szCs w:val="28"/>
        </w:rPr>
        <w:t>研究生中期考核</w:t>
      </w:r>
    </w:p>
    <w:p w:rsidR="00C74BDE" w:rsidRPr="005857F3" w:rsidRDefault="00C74BDE" w:rsidP="005857F3">
      <w:pPr>
        <w:adjustRightInd w:val="0"/>
        <w:snapToGrid w:val="0"/>
        <w:spacing w:afterLines="50" w:after="156" w:line="360" w:lineRule="auto"/>
        <w:ind w:firstLineChars="200" w:firstLine="560"/>
        <w:rPr>
          <w:rFonts w:ascii="仿宋_GB2312" w:eastAsia="仿宋_GB2312" w:hAnsi="Arial" w:cs="Arial"/>
          <w:sz w:val="28"/>
          <w:szCs w:val="28"/>
        </w:rPr>
      </w:pPr>
      <w:r w:rsidRPr="005857F3">
        <w:rPr>
          <w:rFonts w:ascii="仿宋_GB2312" w:eastAsia="仿宋_GB2312" w:hAnsi="Arial" w:cs="Arial" w:hint="eastAsia"/>
          <w:sz w:val="28"/>
          <w:szCs w:val="28"/>
        </w:rPr>
        <w:t>第二条</w:t>
      </w:r>
      <w:r w:rsidRPr="005857F3">
        <w:rPr>
          <w:rFonts w:ascii="仿宋_GB2312" w:eastAsia="仿宋_GB2312" w:hAnsi="Arial" w:cs="Arial"/>
          <w:sz w:val="28"/>
          <w:szCs w:val="28"/>
        </w:rPr>
        <w:t> </w:t>
      </w:r>
      <w:r w:rsidR="001C166A" w:rsidRPr="005857F3">
        <w:rPr>
          <w:rFonts w:ascii="仿宋_GB2312" w:eastAsia="仿宋_GB2312" w:hAnsi="Arial" w:cs="Arial"/>
          <w:sz w:val="28"/>
          <w:szCs w:val="28"/>
        </w:rPr>
        <w:t xml:space="preserve"> </w:t>
      </w:r>
      <w:r w:rsidRPr="005857F3">
        <w:rPr>
          <w:rFonts w:ascii="仿宋_GB2312" w:eastAsia="仿宋_GB2312" w:hAnsi="Arial" w:cs="Arial" w:hint="eastAsia"/>
          <w:sz w:val="28"/>
          <w:szCs w:val="28"/>
        </w:rPr>
        <w:t>考核对象为</w:t>
      </w:r>
      <w:r w:rsidR="001C166A" w:rsidRPr="005857F3">
        <w:rPr>
          <w:rFonts w:ascii="仿宋_GB2312" w:eastAsia="仿宋_GB2312" w:hAnsi="Arial" w:cs="Arial" w:hint="eastAsia"/>
          <w:sz w:val="28"/>
          <w:szCs w:val="28"/>
        </w:rPr>
        <w:t>实验室全体</w:t>
      </w:r>
      <w:r w:rsidRPr="005857F3">
        <w:rPr>
          <w:rFonts w:ascii="仿宋_GB2312" w:eastAsia="仿宋_GB2312" w:hAnsi="Arial" w:cs="Arial" w:hint="eastAsia"/>
          <w:sz w:val="28"/>
          <w:szCs w:val="28"/>
        </w:rPr>
        <w:t>在读注册研究生。考核内容包括：思想品德、科研行为规范、理论知识水平、科研能力和研究工作进展等方面。</w:t>
      </w:r>
    </w:p>
    <w:p w:rsidR="00C74BDE" w:rsidRPr="005857F3" w:rsidRDefault="00C74BDE" w:rsidP="005857F3">
      <w:pPr>
        <w:adjustRightInd w:val="0"/>
        <w:snapToGrid w:val="0"/>
        <w:spacing w:afterLines="50" w:after="156" w:line="360" w:lineRule="auto"/>
        <w:ind w:firstLineChars="200" w:firstLine="560"/>
        <w:rPr>
          <w:rFonts w:ascii="仿宋_GB2312" w:eastAsia="仿宋_GB2312" w:hAnsi="Arial" w:cs="Arial"/>
          <w:sz w:val="28"/>
          <w:szCs w:val="28"/>
        </w:rPr>
      </w:pPr>
      <w:r w:rsidRPr="005857F3">
        <w:rPr>
          <w:rFonts w:ascii="仿宋_GB2312" w:eastAsia="仿宋_GB2312" w:hAnsi="Arial" w:cs="Arial" w:hint="eastAsia"/>
          <w:sz w:val="28"/>
          <w:szCs w:val="28"/>
        </w:rPr>
        <w:t>第三条</w:t>
      </w:r>
      <w:r w:rsidRPr="005857F3">
        <w:rPr>
          <w:rFonts w:ascii="仿宋_GB2312" w:eastAsia="仿宋_GB2312" w:hAnsi="Arial" w:cs="Arial"/>
          <w:sz w:val="28"/>
          <w:szCs w:val="28"/>
        </w:rPr>
        <w:t> </w:t>
      </w:r>
      <w:r w:rsidR="001C166A" w:rsidRPr="005857F3">
        <w:rPr>
          <w:rFonts w:ascii="仿宋_GB2312" w:eastAsia="仿宋_GB2312" w:hAnsi="Arial" w:cs="Arial"/>
          <w:sz w:val="28"/>
          <w:szCs w:val="28"/>
        </w:rPr>
        <w:t xml:space="preserve"> </w:t>
      </w:r>
      <w:r w:rsidRPr="005857F3">
        <w:rPr>
          <w:rFonts w:ascii="仿宋_GB2312" w:eastAsia="仿宋_GB2312" w:hAnsi="Arial" w:cs="Arial" w:hint="eastAsia"/>
          <w:sz w:val="28"/>
          <w:szCs w:val="28"/>
        </w:rPr>
        <w:t>中期考核以研究生指导小组为考核单元，由研究生指导教师负责组织3-5名导师组成研究生指导小组。博士（硕士）生指导小组成员，原则为博士（硕士）生指导教师。</w:t>
      </w:r>
    </w:p>
    <w:p w:rsidR="00C74BDE" w:rsidRPr="005857F3" w:rsidRDefault="00C74BDE" w:rsidP="005857F3">
      <w:pPr>
        <w:adjustRightInd w:val="0"/>
        <w:snapToGrid w:val="0"/>
        <w:spacing w:afterLines="50" w:after="156" w:line="360" w:lineRule="auto"/>
        <w:ind w:firstLineChars="200" w:firstLine="560"/>
        <w:rPr>
          <w:rFonts w:ascii="仿宋_GB2312" w:eastAsia="仿宋_GB2312" w:hAnsi="Arial" w:cs="Arial"/>
          <w:sz w:val="28"/>
          <w:szCs w:val="28"/>
        </w:rPr>
      </w:pPr>
      <w:r w:rsidRPr="005857F3">
        <w:rPr>
          <w:rFonts w:ascii="仿宋_GB2312" w:eastAsia="仿宋_GB2312" w:hAnsi="Arial" w:cs="Arial" w:hint="eastAsia"/>
          <w:sz w:val="28"/>
          <w:szCs w:val="28"/>
        </w:rPr>
        <w:t>第四条</w:t>
      </w:r>
      <w:r w:rsidRPr="005857F3">
        <w:rPr>
          <w:rFonts w:ascii="仿宋_GB2312" w:eastAsia="仿宋_GB2312" w:hAnsi="Arial" w:cs="Arial"/>
          <w:sz w:val="28"/>
          <w:szCs w:val="28"/>
        </w:rPr>
        <w:t> </w:t>
      </w:r>
      <w:r w:rsidR="001C166A" w:rsidRPr="005857F3">
        <w:rPr>
          <w:rFonts w:ascii="仿宋_GB2312" w:eastAsia="仿宋_GB2312" w:hAnsi="Arial" w:cs="Arial"/>
          <w:sz w:val="28"/>
          <w:szCs w:val="28"/>
        </w:rPr>
        <w:t xml:space="preserve"> </w:t>
      </w:r>
      <w:r w:rsidRPr="005857F3">
        <w:rPr>
          <w:rFonts w:ascii="仿宋_GB2312" w:eastAsia="仿宋_GB2312" w:hAnsi="Arial" w:cs="Arial" w:hint="eastAsia"/>
          <w:sz w:val="28"/>
          <w:szCs w:val="28"/>
        </w:rPr>
        <w:t>思想品德、科研行为规范、理论知识水平、科研能力和研究工作进展几项考核结果为年度考核总成绩，各项考核成绩中任何一项成绩不及格者，应终止学习。考核结果分为合格、基本合格、不合格。</w:t>
      </w:r>
      <w:r w:rsidR="001C166A" w:rsidRPr="005857F3">
        <w:rPr>
          <w:rFonts w:ascii="仿宋_GB2312" w:eastAsia="仿宋_GB2312" w:hAnsi="Arial" w:cs="Arial" w:hint="eastAsia"/>
          <w:sz w:val="28"/>
          <w:szCs w:val="28"/>
        </w:rPr>
        <w:t>中期考核统一安排在4月中下旬</w:t>
      </w:r>
      <w:r w:rsidRPr="005857F3">
        <w:rPr>
          <w:rFonts w:ascii="仿宋_GB2312" w:eastAsia="仿宋_GB2312" w:hAnsi="Arial" w:cs="Arial" w:hint="eastAsia"/>
          <w:sz w:val="28"/>
          <w:szCs w:val="28"/>
        </w:rPr>
        <w:t>。</w:t>
      </w:r>
    </w:p>
    <w:p w:rsidR="00C74BDE" w:rsidRPr="005857F3" w:rsidRDefault="00C74BDE" w:rsidP="005857F3">
      <w:pPr>
        <w:adjustRightInd w:val="0"/>
        <w:snapToGrid w:val="0"/>
        <w:spacing w:afterLines="50" w:after="156" w:line="360" w:lineRule="auto"/>
        <w:jc w:val="center"/>
        <w:rPr>
          <w:rFonts w:ascii="仿宋_GB2312" w:eastAsia="仿宋_GB2312" w:hAnsi="Arial" w:cs="Arial"/>
          <w:b/>
          <w:sz w:val="28"/>
          <w:szCs w:val="28"/>
        </w:rPr>
      </w:pPr>
      <w:r w:rsidRPr="005857F3">
        <w:rPr>
          <w:rFonts w:ascii="仿宋_GB2312" w:eastAsia="仿宋_GB2312" w:hAnsi="Arial" w:cs="Arial" w:hint="eastAsia"/>
          <w:b/>
          <w:sz w:val="28"/>
          <w:szCs w:val="28"/>
        </w:rPr>
        <w:t>第三章</w:t>
      </w:r>
      <w:r w:rsidRPr="005857F3">
        <w:rPr>
          <w:rFonts w:ascii="仿宋_GB2312" w:eastAsia="仿宋_GB2312" w:hAnsi="Arial" w:cs="Arial"/>
          <w:b/>
          <w:sz w:val="28"/>
          <w:szCs w:val="28"/>
        </w:rPr>
        <w:t>  </w:t>
      </w:r>
      <w:r w:rsidRPr="005857F3">
        <w:rPr>
          <w:rFonts w:ascii="仿宋_GB2312" w:eastAsia="仿宋_GB2312" w:hAnsi="Arial" w:cs="Arial" w:hint="eastAsia"/>
          <w:b/>
          <w:sz w:val="28"/>
          <w:szCs w:val="28"/>
        </w:rPr>
        <w:t>硕转博（或提前攻博）资格审定</w:t>
      </w:r>
    </w:p>
    <w:p w:rsidR="00C74BDE" w:rsidRPr="005857F3" w:rsidRDefault="00C74BDE" w:rsidP="005857F3">
      <w:pPr>
        <w:adjustRightInd w:val="0"/>
        <w:snapToGrid w:val="0"/>
        <w:spacing w:afterLines="50" w:after="156" w:line="360" w:lineRule="auto"/>
        <w:ind w:firstLineChars="200" w:firstLine="560"/>
        <w:rPr>
          <w:rFonts w:ascii="仿宋_GB2312" w:eastAsia="仿宋_GB2312" w:hAnsi="Arial" w:cs="Arial"/>
          <w:sz w:val="28"/>
          <w:szCs w:val="28"/>
        </w:rPr>
      </w:pPr>
      <w:r w:rsidRPr="005857F3">
        <w:rPr>
          <w:rFonts w:ascii="仿宋_GB2312" w:eastAsia="仿宋_GB2312" w:hAnsi="Arial" w:cs="Arial" w:hint="eastAsia"/>
          <w:sz w:val="28"/>
          <w:szCs w:val="28"/>
        </w:rPr>
        <w:t>第五条</w:t>
      </w:r>
      <w:r w:rsidRPr="005857F3">
        <w:rPr>
          <w:rFonts w:ascii="仿宋_GB2312" w:eastAsia="仿宋_GB2312" w:hAnsi="Arial" w:cs="Arial"/>
          <w:sz w:val="28"/>
          <w:szCs w:val="28"/>
        </w:rPr>
        <w:t> </w:t>
      </w:r>
      <w:r w:rsidRPr="005857F3">
        <w:rPr>
          <w:rFonts w:ascii="仿宋_GB2312" w:eastAsia="仿宋_GB2312" w:hAnsi="Arial" w:cs="Arial" w:hint="eastAsia"/>
          <w:sz w:val="28"/>
          <w:szCs w:val="28"/>
        </w:rPr>
        <w:t>申请硕转博（或提前攻博）的研究生须符合下列基本条件：</w:t>
      </w:r>
    </w:p>
    <w:p w:rsidR="00C74BDE" w:rsidRPr="0036298D" w:rsidRDefault="00C74BDE" w:rsidP="0036298D">
      <w:pPr>
        <w:pStyle w:val="a7"/>
        <w:numPr>
          <w:ilvl w:val="0"/>
          <w:numId w:val="1"/>
        </w:numPr>
        <w:adjustRightInd w:val="0"/>
        <w:snapToGrid w:val="0"/>
        <w:spacing w:afterLines="50" w:after="156" w:line="360" w:lineRule="auto"/>
        <w:ind w:firstLineChars="0"/>
        <w:rPr>
          <w:rFonts w:ascii="仿宋_GB2312" w:eastAsia="仿宋_GB2312" w:hAnsi="Arial" w:cs="Arial"/>
          <w:sz w:val="28"/>
          <w:szCs w:val="28"/>
        </w:rPr>
      </w:pPr>
      <w:r w:rsidRPr="0036298D">
        <w:rPr>
          <w:rFonts w:ascii="仿宋_GB2312" w:eastAsia="仿宋_GB2312" w:hAnsi="Arial" w:cs="Arial" w:hint="eastAsia"/>
          <w:sz w:val="28"/>
          <w:szCs w:val="28"/>
        </w:rPr>
        <w:t>热爱祖国，拥护中国共产党的领导，品德良好，遵纪守法；</w:t>
      </w:r>
    </w:p>
    <w:p w:rsidR="00C74BDE" w:rsidRPr="0036298D" w:rsidRDefault="00C74BDE" w:rsidP="0036298D">
      <w:pPr>
        <w:pStyle w:val="a7"/>
        <w:numPr>
          <w:ilvl w:val="0"/>
          <w:numId w:val="1"/>
        </w:numPr>
        <w:adjustRightInd w:val="0"/>
        <w:snapToGrid w:val="0"/>
        <w:spacing w:afterLines="50" w:after="156" w:line="360" w:lineRule="auto"/>
        <w:ind w:firstLineChars="0"/>
        <w:rPr>
          <w:rFonts w:ascii="仿宋_GB2312" w:eastAsia="仿宋_GB2312" w:hAnsi="Arial" w:cs="Arial"/>
          <w:sz w:val="28"/>
          <w:szCs w:val="28"/>
        </w:rPr>
      </w:pPr>
      <w:r w:rsidRPr="0036298D">
        <w:rPr>
          <w:rFonts w:ascii="仿宋_GB2312" w:eastAsia="仿宋_GB2312" w:hAnsi="Arial" w:cs="Arial" w:hint="eastAsia"/>
          <w:sz w:val="28"/>
          <w:szCs w:val="28"/>
        </w:rPr>
        <w:lastRenderedPageBreak/>
        <w:t>已修完全部硕士课程，成绩优良；</w:t>
      </w:r>
    </w:p>
    <w:p w:rsidR="00C74BDE" w:rsidRPr="0036298D" w:rsidRDefault="00C74BDE" w:rsidP="0036298D">
      <w:pPr>
        <w:pStyle w:val="a7"/>
        <w:numPr>
          <w:ilvl w:val="0"/>
          <w:numId w:val="1"/>
        </w:numPr>
        <w:adjustRightInd w:val="0"/>
        <w:snapToGrid w:val="0"/>
        <w:spacing w:afterLines="50" w:after="156" w:line="360" w:lineRule="auto"/>
        <w:ind w:firstLineChars="0"/>
        <w:rPr>
          <w:rFonts w:ascii="仿宋_GB2312" w:eastAsia="仿宋_GB2312" w:hAnsi="Arial" w:cs="Arial"/>
          <w:sz w:val="28"/>
          <w:szCs w:val="28"/>
        </w:rPr>
      </w:pPr>
      <w:r w:rsidRPr="0036298D">
        <w:rPr>
          <w:rFonts w:ascii="仿宋_GB2312" w:eastAsia="仿宋_GB2312" w:hAnsi="Arial" w:cs="Arial" w:hint="eastAsia"/>
          <w:sz w:val="28"/>
          <w:szCs w:val="28"/>
        </w:rPr>
        <w:t>有较强的创新能力和较大发展潜力；</w:t>
      </w:r>
    </w:p>
    <w:p w:rsidR="00C74BDE" w:rsidRPr="0036298D" w:rsidRDefault="00C74BDE" w:rsidP="0036298D">
      <w:pPr>
        <w:pStyle w:val="a7"/>
        <w:numPr>
          <w:ilvl w:val="0"/>
          <w:numId w:val="1"/>
        </w:numPr>
        <w:adjustRightInd w:val="0"/>
        <w:snapToGrid w:val="0"/>
        <w:spacing w:afterLines="50" w:after="156" w:line="360" w:lineRule="auto"/>
        <w:ind w:firstLineChars="0"/>
        <w:rPr>
          <w:rFonts w:ascii="仿宋_GB2312" w:eastAsia="仿宋_GB2312" w:hAnsi="Arial" w:cs="Arial"/>
          <w:sz w:val="28"/>
          <w:szCs w:val="28"/>
        </w:rPr>
      </w:pPr>
      <w:r w:rsidRPr="0036298D">
        <w:rPr>
          <w:rFonts w:ascii="仿宋_GB2312" w:eastAsia="仿宋_GB2312" w:hAnsi="Arial" w:cs="Arial" w:hint="eastAsia"/>
          <w:sz w:val="28"/>
          <w:szCs w:val="28"/>
        </w:rPr>
        <w:t>身体健康状况符合国家规定及相关专业领域特殊要求的体检标准。</w:t>
      </w:r>
    </w:p>
    <w:p w:rsidR="00C74BDE" w:rsidRPr="005857F3" w:rsidRDefault="00C74BDE" w:rsidP="005857F3">
      <w:pPr>
        <w:adjustRightInd w:val="0"/>
        <w:snapToGrid w:val="0"/>
        <w:spacing w:afterLines="50" w:after="156" w:line="360" w:lineRule="auto"/>
        <w:ind w:firstLineChars="200" w:firstLine="560"/>
        <w:rPr>
          <w:rFonts w:ascii="仿宋_GB2312" w:eastAsia="仿宋_GB2312" w:hAnsi="Arial" w:cs="Arial"/>
          <w:sz w:val="28"/>
          <w:szCs w:val="28"/>
        </w:rPr>
      </w:pPr>
      <w:r w:rsidRPr="005857F3">
        <w:rPr>
          <w:rFonts w:ascii="仿宋_GB2312" w:eastAsia="仿宋_GB2312" w:hAnsi="Arial" w:cs="Arial" w:hint="eastAsia"/>
          <w:sz w:val="28"/>
          <w:szCs w:val="28"/>
        </w:rPr>
        <w:t>第六条</w:t>
      </w:r>
      <w:r w:rsidR="001C166A" w:rsidRPr="005857F3">
        <w:rPr>
          <w:rFonts w:ascii="仿宋_GB2312" w:eastAsia="仿宋_GB2312" w:hAnsi="Arial" w:cs="Arial"/>
          <w:sz w:val="28"/>
          <w:szCs w:val="28"/>
        </w:rPr>
        <w:t xml:space="preserve"> </w:t>
      </w:r>
      <w:r w:rsidRPr="005857F3">
        <w:rPr>
          <w:rFonts w:ascii="仿宋_GB2312" w:eastAsia="仿宋_GB2312" w:hAnsi="Arial" w:cs="Arial" w:hint="eastAsia"/>
          <w:sz w:val="28"/>
          <w:szCs w:val="28"/>
        </w:rPr>
        <w:t>对申请硕转博（或提前攻博）直博生的研究生只进行一次资格认定，申请者必须为硕士二年级学生，必须完成不低于三十七学分的课程学习，其中学位课二十五学分</w:t>
      </w:r>
      <w:r w:rsidR="001C166A" w:rsidRPr="005857F3">
        <w:rPr>
          <w:rFonts w:ascii="仿宋_GB2312" w:eastAsia="仿宋_GB2312" w:hAnsi="Arial" w:cs="Arial" w:hint="eastAsia"/>
          <w:sz w:val="28"/>
          <w:szCs w:val="28"/>
        </w:rPr>
        <w:t>,</w:t>
      </w:r>
      <w:r w:rsidRPr="005857F3">
        <w:rPr>
          <w:rFonts w:ascii="仿宋_GB2312" w:eastAsia="仿宋_GB2312" w:hAnsi="Arial" w:cs="Arial" w:hint="eastAsia"/>
          <w:sz w:val="28"/>
          <w:szCs w:val="28"/>
        </w:rPr>
        <w:t>完成必修环节且中期考核合格。申请者本人应提交《中国科学院国科大硕转博（或提前攻博）学位研究生登记表》，未通过资格认定者继续攻读硕士学位。</w:t>
      </w:r>
    </w:p>
    <w:p w:rsidR="00C74BDE" w:rsidRPr="005857F3" w:rsidRDefault="00C74BDE" w:rsidP="005857F3">
      <w:pPr>
        <w:adjustRightInd w:val="0"/>
        <w:snapToGrid w:val="0"/>
        <w:spacing w:afterLines="50" w:after="156" w:line="360" w:lineRule="auto"/>
        <w:ind w:firstLineChars="200" w:firstLine="560"/>
        <w:rPr>
          <w:rFonts w:ascii="仿宋_GB2312" w:eastAsia="仿宋_GB2312" w:hAnsi="Arial" w:cs="Arial"/>
          <w:sz w:val="28"/>
          <w:szCs w:val="28"/>
        </w:rPr>
      </w:pPr>
      <w:r w:rsidRPr="005857F3">
        <w:rPr>
          <w:rFonts w:ascii="仿宋_GB2312" w:eastAsia="仿宋_GB2312" w:hAnsi="Arial" w:cs="Arial"/>
          <w:sz w:val="28"/>
          <w:szCs w:val="28"/>
        </w:rPr>
        <w:t> </w:t>
      </w:r>
      <w:r w:rsidRPr="005857F3">
        <w:rPr>
          <w:rFonts w:ascii="仿宋_GB2312" w:eastAsia="仿宋_GB2312" w:hAnsi="Arial" w:cs="Arial" w:hint="eastAsia"/>
          <w:sz w:val="28"/>
          <w:szCs w:val="28"/>
        </w:rPr>
        <w:t>第七条</w:t>
      </w:r>
      <w:r w:rsidR="001C166A" w:rsidRPr="005857F3">
        <w:rPr>
          <w:rFonts w:ascii="仿宋_GB2312" w:eastAsia="仿宋_GB2312" w:hAnsi="Arial" w:cs="Arial"/>
          <w:sz w:val="28"/>
          <w:szCs w:val="28"/>
        </w:rPr>
        <w:t> </w:t>
      </w:r>
      <w:r w:rsidR="001C166A" w:rsidRPr="005857F3">
        <w:rPr>
          <w:rFonts w:ascii="仿宋_GB2312" w:eastAsia="仿宋_GB2312" w:hAnsi="Arial" w:cs="Arial"/>
          <w:sz w:val="28"/>
          <w:szCs w:val="28"/>
        </w:rPr>
        <w:t xml:space="preserve"> </w:t>
      </w:r>
      <w:r w:rsidRPr="005857F3">
        <w:rPr>
          <w:rFonts w:ascii="仿宋_GB2312" w:eastAsia="仿宋_GB2312" w:hAnsi="Arial" w:cs="Arial" w:hint="eastAsia"/>
          <w:sz w:val="28"/>
          <w:szCs w:val="28"/>
        </w:rPr>
        <w:t>申请硕转博（或提前攻博）的研究生须经研究生指导小组推荐，由重点实验室</w:t>
      </w:r>
      <w:r w:rsidR="001C166A" w:rsidRPr="005857F3">
        <w:rPr>
          <w:rFonts w:ascii="仿宋_GB2312" w:eastAsia="仿宋_GB2312" w:hAnsi="Arial" w:cs="Arial" w:hint="eastAsia"/>
          <w:sz w:val="28"/>
          <w:szCs w:val="28"/>
        </w:rPr>
        <w:t>统一</w:t>
      </w:r>
      <w:r w:rsidRPr="005857F3">
        <w:rPr>
          <w:rFonts w:ascii="仿宋_GB2312" w:eastAsia="仿宋_GB2312" w:hAnsi="Arial" w:cs="Arial" w:hint="eastAsia"/>
          <w:sz w:val="28"/>
          <w:szCs w:val="28"/>
        </w:rPr>
        <w:t>组织答辩报告会对申请者进行考核（鼓励申请者用英语报告）。</w:t>
      </w:r>
    </w:p>
    <w:p w:rsidR="00C74BDE" w:rsidRPr="005857F3" w:rsidRDefault="00C74BDE" w:rsidP="005857F3">
      <w:pPr>
        <w:adjustRightInd w:val="0"/>
        <w:snapToGrid w:val="0"/>
        <w:spacing w:afterLines="50" w:after="156" w:line="360" w:lineRule="auto"/>
        <w:jc w:val="center"/>
        <w:rPr>
          <w:rFonts w:ascii="仿宋_GB2312" w:eastAsia="仿宋_GB2312" w:hAnsi="Arial" w:cs="Arial"/>
          <w:b/>
          <w:sz w:val="28"/>
          <w:szCs w:val="28"/>
        </w:rPr>
      </w:pPr>
      <w:r w:rsidRPr="005857F3">
        <w:rPr>
          <w:rFonts w:ascii="仿宋_GB2312" w:eastAsia="仿宋_GB2312" w:hAnsi="Arial" w:cs="Arial" w:hint="eastAsia"/>
          <w:b/>
          <w:sz w:val="28"/>
          <w:szCs w:val="28"/>
        </w:rPr>
        <w:t>第四章</w:t>
      </w:r>
      <w:r w:rsidRPr="005857F3">
        <w:rPr>
          <w:rFonts w:ascii="仿宋_GB2312" w:eastAsia="仿宋_GB2312" w:hAnsi="Arial" w:cs="Arial"/>
          <w:b/>
          <w:sz w:val="28"/>
          <w:szCs w:val="28"/>
        </w:rPr>
        <w:t>  </w:t>
      </w:r>
      <w:r w:rsidRPr="005857F3">
        <w:rPr>
          <w:rFonts w:ascii="仿宋_GB2312" w:eastAsia="仿宋_GB2312" w:hAnsi="Arial" w:cs="Arial" w:hint="eastAsia"/>
          <w:b/>
          <w:sz w:val="28"/>
          <w:szCs w:val="28"/>
        </w:rPr>
        <w:t>国科大</w:t>
      </w:r>
      <w:r w:rsidRPr="005857F3">
        <w:rPr>
          <w:rFonts w:ascii="仿宋_GB2312" w:eastAsia="仿宋_GB2312" w:hAnsi="Arial" w:cs="Arial"/>
          <w:b/>
          <w:sz w:val="28"/>
          <w:szCs w:val="28"/>
        </w:rPr>
        <w:t>“</w:t>
      </w:r>
      <w:r w:rsidRPr="005857F3">
        <w:rPr>
          <w:rFonts w:ascii="仿宋_GB2312" w:eastAsia="仿宋_GB2312" w:hAnsi="Arial" w:cs="Arial" w:hint="eastAsia"/>
          <w:b/>
          <w:sz w:val="28"/>
          <w:szCs w:val="28"/>
        </w:rPr>
        <w:t>优秀学生</w:t>
      </w:r>
      <w:r w:rsidRPr="005857F3">
        <w:rPr>
          <w:rFonts w:ascii="仿宋_GB2312" w:eastAsia="仿宋_GB2312" w:hAnsi="Arial" w:cs="Arial"/>
          <w:b/>
          <w:sz w:val="28"/>
          <w:szCs w:val="28"/>
        </w:rPr>
        <w:t>”</w:t>
      </w:r>
      <w:r w:rsidRPr="005857F3">
        <w:rPr>
          <w:rFonts w:ascii="仿宋_GB2312" w:eastAsia="仿宋_GB2312" w:hAnsi="Arial" w:cs="Arial" w:hint="eastAsia"/>
          <w:b/>
          <w:sz w:val="28"/>
          <w:szCs w:val="28"/>
        </w:rPr>
        <w:t>评选</w:t>
      </w:r>
    </w:p>
    <w:p w:rsidR="00A35D14" w:rsidRPr="005857F3" w:rsidRDefault="00C74BDE" w:rsidP="005857F3">
      <w:pPr>
        <w:adjustRightInd w:val="0"/>
        <w:snapToGrid w:val="0"/>
        <w:spacing w:afterLines="50" w:after="156" w:line="360" w:lineRule="auto"/>
        <w:ind w:firstLineChars="200" w:firstLine="560"/>
        <w:rPr>
          <w:rFonts w:ascii="仿宋_GB2312" w:eastAsia="仿宋_GB2312" w:hAnsi="Arial" w:cs="Arial"/>
          <w:sz w:val="28"/>
          <w:szCs w:val="28"/>
        </w:rPr>
      </w:pPr>
      <w:r w:rsidRPr="005857F3">
        <w:rPr>
          <w:rFonts w:ascii="仿宋_GB2312" w:eastAsia="仿宋_GB2312" w:hAnsi="Arial" w:cs="Arial" w:hint="eastAsia"/>
          <w:sz w:val="28"/>
          <w:szCs w:val="28"/>
        </w:rPr>
        <w:t>第八条</w:t>
      </w:r>
      <w:r w:rsidRPr="005857F3">
        <w:rPr>
          <w:rFonts w:ascii="仿宋_GB2312" w:eastAsia="仿宋_GB2312" w:hAnsi="Arial" w:cs="Arial"/>
          <w:sz w:val="28"/>
          <w:szCs w:val="28"/>
        </w:rPr>
        <w:t> </w:t>
      </w:r>
      <w:r w:rsidR="001C166A" w:rsidRPr="005857F3">
        <w:rPr>
          <w:rFonts w:ascii="仿宋_GB2312" w:eastAsia="仿宋_GB2312" w:hAnsi="Arial" w:cs="Arial" w:hint="eastAsia"/>
          <w:sz w:val="28"/>
          <w:szCs w:val="28"/>
        </w:rPr>
        <w:t xml:space="preserve"> </w:t>
      </w:r>
      <w:r w:rsidR="00A35D14" w:rsidRPr="005857F3">
        <w:rPr>
          <w:rFonts w:ascii="仿宋_GB2312" w:eastAsia="仿宋_GB2312" w:hAnsi="Arial" w:cs="Arial" w:hint="eastAsia"/>
          <w:sz w:val="28"/>
          <w:szCs w:val="28"/>
        </w:rPr>
        <w:t>国科大“优秀学生”的评选范围仅限于年度考核时在读注册的动物研究所研究生（已经毕业研究生不包括在内）。具体实施执行《中国科学院大学优秀学生评选条例》（2012年12月20日校长办公会议通过）。</w:t>
      </w:r>
    </w:p>
    <w:p w:rsidR="00A35D14" w:rsidRPr="005857F3" w:rsidRDefault="00A35D14" w:rsidP="005857F3">
      <w:pPr>
        <w:adjustRightInd w:val="0"/>
        <w:snapToGrid w:val="0"/>
        <w:spacing w:afterLines="50" w:after="156" w:line="360" w:lineRule="auto"/>
        <w:ind w:firstLineChars="200" w:firstLine="560"/>
        <w:rPr>
          <w:rFonts w:ascii="仿宋_GB2312" w:eastAsia="仿宋_GB2312" w:hAnsi="Arial" w:cs="Arial"/>
          <w:sz w:val="28"/>
          <w:szCs w:val="28"/>
        </w:rPr>
      </w:pPr>
      <w:r w:rsidRPr="005857F3">
        <w:rPr>
          <w:rFonts w:ascii="仿宋_GB2312" w:eastAsia="仿宋_GB2312" w:hAnsi="Arial" w:cs="Arial" w:hint="eastAsia"/>
          <w:sz w:val="28"/>
          <w:szCs w:val="28"/>
        </w:rPr>
        <w:t>第九条</w:t>
      </w:r>
      <w:r w:rsidRPr="005857F3">
        <w:rPr>
          <w:rFonts w:ascii="仿宋_GB2312" w:eastAsia="仿宋_GB2312" w:hAnsi="Arial" w:cs="Arial"/>
          <w:sz w:val="28"/>
          <w:szCs w:val="28"/>
        </w:rPr>
        <w:t> </w:t>
      </w:r>
      <w:r w:rsidRPr="005857F3">
        <w:rPr>
          <w:rFonts w:ascii="仿宋_GB2312" w:eastAsia="仿宋_GB2312" w:hAnsi="Arial" w:cs="Arial"/>
          <w:sz w:val="28"/>
          <w:szCs w:val="28"/>
        </w:rPr>
        <w:t xml:space="preserve"> </w:t>
      </w:r>
      <w:r w:rsidRPr="005857F3">
        <w:rPr>
          <w:rFonts w:ascii="仿宋_GB2312" w:eastAsia="仿宋_GB2312" w:hAnsi="Arial" w:cs="Arial" w:hint="eastAsia"/>
          <w:sz w:val="28"/>
          <w:szCs w:val="28"/>
        </w:rPr>
        <w:t>“优秀学生”包括“三好学生”、“优秀学生干部”、“三好学生标兵”和“优秀毕业生”荣誉称号，颁发或授权颁发统一制作的荣誉证书和奖章，以奖励模范履行法定义务、遵守学生行为准则的优秀学生。</w:t>
      </w:r>
    </w:p>
    <w:p w:rsidR="00C74BDE" w:rsidRPr="005857F3" w:rsidRDefault="00A35D14" w:rsidP="005857F3">
      <w:pPr>
        <w:adjustRightInd w:val="0"/>
        <w:snapToGrid w:val="0"/>
        <w:spacing w:afterLines="50" w:after="156" w:line="360" w:lineRule="auto"/>
        <w:ind w:firstLineChars="200" w:firstLine="560"/>
        <w:rPr>
          <w:rFonts w:ascii="仿宋_GB2312" w:eastAsia="仿宋_GB2312" w:hAnsi="Arial" w:cs="Arial"/>
          <w:sz w:val="28"/>
          <w:szCs w:val="28"/>
        </w:rPr>
      </w:pPr>
      <w:r w:rsidRPr="005857F3">
        <w:rPr>
          <w:rFonts w:ascii="仿宋_GB2312" w:eastAsia="仿宋_GB2312" w:hAnsi="Arial" w:cs="Arial" w:hint="eastAsia"/>
          <w:sz w:val="28"/>
          <w:szCs w:val="28"/>
        </w:rPr>
        <w:t>第十条</w:t>
      </w:r>
      <w:r w:rsidRPr="005857F3">
        <w:rPr>
          <w:rFonts w:ascii="仿宋_GB2312" w:eastAsia="仿宋_GB2312" w:hAnsi="Arial" w:cs="Arial"/>
          <w:sz w:val="28"/>
          <w:szCs w:val="28"/>
        </w:rPr>
        <w:t> </w:t>
      </w:r>
      <w:r w:rsidRPr="005857F3">
        <w:rPr>
          <w:rFonts w:ascii="仿宋_GB2312" w:eastAsia="仿宋_GB2312" w:hAnsi="Arial" w:cs="Arial"/>
          <w:sz w:val="28"/>
          <w:szCs w:val="28"/>
        </w:rPr>
        <w:t xml:space="preserve"> </w:t>
      </w:r>
      <w:r w:rsidR="001C166A" w:rsidRPr="005857F3">
        <w:rPr>
          <w:rFonts w:ascii="仿宋_GB2312" w:eastAsia="仿宋_GB2312" w:hAnsi="Arial" w:cs="Arial" w:hint="eastAsia"/>
          <w:sz w:val="28"/>
          <w:szCs w:val="28"/>
        </w:rPr>
        <w:t>国科大“优秀学生”候选人由学生本人申请，经过导师推荐，上报实验室办公室。由</w:t>
      </w:r>
      <w:r w:rsidR="00C74BDE" w:rsidRPr="005857F3">
        <w:rPr>
          <w:rFonts w:ascii="仿宋_GB2312" w:eastAsia="仿宋_GB2312" w:hAnsi="Arial" w:cs="Arial" w:hint="eastAsia"/>
          <w:sz w:val="28"/>
          <w:szCs w:val="28"/>
        </w:rPr>
        <w:t>重点实验室成立考核委员会（委员至少</w:t>
      </w:r>
      <w:r w:rsidR="00C74BDE" w:rsidRPr="005857F3">
        <w:rPr>
          <w:rFonts w:ascii="仿宋_GB2312" w:eastAsia="仿宋_GB2312" w:hAnsi="Arial" w:cs="Arial" w:hint="eastAsia"/>
          <w:sz w:val="28"/>
          <w:szCs w:val="28"/>
        </w:rPr>
        <w:lastRenderedPageBreak/>
        <w:t>9人），</w:t>
      </w:r>
      <w:r w:rsidR="001C166A" w:rsidRPr="005857F3">
        <w:rPr>
          <w:rFonts w:ascii="仿宋_GB2312" w:eastAsia="仿宋_GB2312" w:hAnsi="Arial" w:cs="Arial" w:hint="eastAsia"/>
          <w:sz w:val="28"/>
          <w:szCs w:val="28"/>
        </w:rPr>
        <w:t>通过集中报告会的形式对“优秀学生”候选人进行评选。评选结果在实验室内部公示后，上报动物所研究生部。</w:t>
      </w:r>
    </w:p>
    <w:p w:rsidR="00C74BDE" w:rsidRPr="005857F3" w:rsidRDefault="00C74BDE" w:rsidP="005857F3">
      <w:pPr>
        <w:adjustRightInd w:val="0"/>
        <w:snapToGrid w:val="0"/>
        <w:spacing w:afterLines="50" w:after="156" w:line="360" w:lineRule="auto"/>
        <w:jc w:val="center"/>
        <w:rPr>
          <w:rFonts w:ascii="仿宋_GB2312" w:eastAsia="仿宋_GB2312" w:hAnsi="Arial" w:cs="Arial"/>
          <w:b/>
          <w:sz w:val="28"/>
          <w:szCs w:val="28"/>
        </w:rPr>
      </w:pPr>
      <w:r w:rsidRPr="005857F3">
        <w:rPr>
          <w:rFonts w:ascii="仿宋_GB2312" w:eastAsia="仿宋_GB2312" w:hAnsi="Arial" w:cs="Arial" w:hint="eastAsia"/>
          <w:b/>
          <w:sz w:val="28"/>
          <w:szCs w:val="28"/>
        </w:rPr>
        <w:t>第五章</w:t>
      </w:r>
      <w:r w:rsidRPr="005857F3">
        <w:rPr>
          <w:rFonts w:ascii="仿宋_GB2312" w:eastAsia="仿宋_GB2312" w:hAnsi="Arial" w:cs="Arial"/>
          <w:b/>
          <w:sz w:val="28"/>
          <w:szCs w:val="28"/>
        </w:rPr>
        <w:t>  </w:t>
      </w:r>
      <w:r w:rsidRPr="005857F3">
        <w:rPr>
          <w:rFonts w:ascii="仿宋_GB2312" w:eastAsia="仿宋_GB2312" w:hAnsi="Arial" w:cs="Arial" w:hint="eastAsia"/>
          <w:b/>
          <w:sz w:val="28"/>
          <w:szCs w:val="28"/>
        </w:rPr>
        <w:t>研究生</w:t>
      </w:r>
      <w:r w:rsidR="00A56B6E" w:rsidRPr="005857F3">
        <w:rPr>
          <w:rFonts w:ascii="仿宋_GB2312" w:eastAsia="仿宋_GB2312" w:hAnsi="Arial" w:cs="Arial" w:hint="eastAsia"/>
          <w:b/>
          <w:sz w:val="28"/>
          <w:szCs w:val="28"/>
        </w:rPr>
        <w:t>专业</w:t>
      </w:r>
      <w:r w:rsidRPr="005857F3">
        <w:rPr>
          <w:rFonts w:ascii="仿宋_GB2312" w:eastAsia="仿宋_GB2312" w:hAnsi="Arial" w:cs="Arial" w:hint="eastAsia"/>
          <w:b/>
          <w:sz w:val="28"/>
          <w:szCs w:val="28"/>
        </w:rPr>
        <w:t>课程的设置</w:t>
      </w:r>
    </w:p>
    <w:p w:rsidR="00C74BDE" w:rsidRPr="005857F3" w:rsidRDefault="00C74BDE" w:rsidP="005857F3">
      <w:pPr>
        <w:adjustRightInd w:val="0"/>
        <w:snapToGrid w:val="0"/>
        <w:spacing w:afterLines="50" w:after="156" w:line="360" w:lineRule="auto"/>
        <w:ind w:firstLineChars="200" w:firstLine="560"/>
        <w:rPr>
          <w:rFonts w:ascii="仿宋_GB2312" w:eastAsia="仿宋_GB2312" w:hAnsi="Arial" w:cs="Arial"/>
          <w:sz w:val="28"/>
          <w:szCs w:val="28"/>
        </w:rPr>
      </w:pPr>
      <w:r w:rsidRPr="005857F3">
        <w:rPr>
          <w:rFonts w:ascii="仿宋_GB2312" w:eastAsia="仿宋_GB2312" w:hAnsi="Arial" w:cs="Arial" w:hint="eastAsia"/>
          <w:sz w:val="28"/>
          <w:szCs w:val="28"/>
        </w:rPr>
        <w:t>第十一条</w:t>
      </w:r>
      <w:r w:rsidRPr="005857F3">
        <w:rPr>
          <w:rFonts w:ascii="仿宋_GB2312" w:eastAsia="仿宋_GB2312" w:hAnsi="Arial" w:cs="Arial"/>
          <w:sz w:val="28"/>
          <w:szCs w:val="28"/>
        </w:rPr>
        <w:t>  </w:t>
      </w:r>
      <w:r w:rsidR="00A35D14" w:rsidRPr="005857F3">
        <w:rPr>
          <w:rFonts w:ascii="仿宋_GB2312" w:eastAsia="仿宋_GB2312" w:hAnsi="Arial" w:cs="Arial" w:hint="eastAsia"/>
          <w:sz w:val="28"/>
          <w:szCs w:val="28"/>
        </w:rPr>
        <w:t>实验室</w:t>
      </w:r>
      <w:r w:rsidR="00A56B6E" w:rsidRPr="005857F3">
        <w:rPr>
          <w:rFonts w:ascii="仿宋_GB2312" w:eastAsia="仿宋_GB2312" w:hAnsi="Arial" w:cs="Arial" w:hint="eastAsia"/>
          <w:sz w:val="28"/>
          <w:szCs w:val="28"/>
        </w:rPr>
        <w:t>每两年</w:t>
      </w:r>
      <w:r w:rsidRPr="005857F3">
        <w:rPr>
          <w:rFonts w:ascii="仿宋_GB2312" w:eastAsia="仿宋_GB2312" w:hAnsi="Arial" w:cs="Arial" w:hint="eastAsia"/>
          <w:sz w:val="28"/>
          <w:szCs w:val="28"/>
        </w:rPr>
        <w:t>开设</w:t>
      </w:r>
      <w:r w:rsidR="00A35D14" w:rsidRPr="005857F3">
        <w:rPr>
          <w:rFonts w:ascii="仿宋_GB2312" w:eastAsia="仿宋_GB2312" w:hAnsi="Arial" w:cs="Arial" w:hint="eastAsia"/>
          <w:sz w:val="28"/>
          <w:szCs w:val="28"/>
        </w:rPr>
        <w:t>博士生专业课</w:t>
      </w:r>
      <w:r w:rsidRPr="005857F3">
        <w:rPr>
          <w:rFonts w:ascii="仿宋_GB2312" w:eastAsia="仿宋_GB2312" w:hAnsi="Arial" w:cs="Arial" w:hint="eastAsia"/>
          <w:sz w:val="28"/>
          <w:szCs w:val="28"/>
        </w:rPr>
        <w:t>“</w:t>
      </w:r>
      <w:r w:rsidR="00A35D14" w:rsidRPr="005857F3">
        <w:rPr>
          <w:rFonts w:ascii="仿宋_GB2312" w:eastAsia="仿宋_GB2312" w:hAnsi="Arial" w:cs="Arial" w:hint="eastAsia"/>
          <w:sz w:val="28"/>
          <w:szCs w:val="28"/>
        </w:rPr>
        <w:t>整合生物学</w:t>
      </w:r>
      <w:r w:rsidRPr="005857F3">
        <w:rPr>
          <w:rFonts w:ascii="仿宋_GB2312" w:eastAsia="仿宋_GB2312" w:hAnsi="Arial" w:cs="Arial" w:hint="eastAsia"/>
          <w:sz w:val="28"/>
          <w:szCs w:val="28"/>
        </w:rPr>
        <w:t>”，</w:t>
      </w:r>
      <w:r w:rsidR="00A35D14" w:rsidRPr="005857F3">
        <w:rPr>
          <w:rFonts w:ascii="仿宋_GB2312" w:eastAsia="仿宋_GB2312" w:hAnsi="Arial" w:cs="Arial" w:hint="eastAsia"/>
          <w:sz w:val="28"/>
          <w:szCs w:val="28"/>
        </w:rPr>
        <w:t>每期</w:t>
      </w:r>
      <w:r w:rsidRPr="005857F3">
        <w:rPr>
          <w:rFonts w:ascii="仿宋_GB2312" w:eastAsia="仿宋_GB2312" w:hAnsi="Arial" w:cs="Arial" w:hint="eastAsia"/>
          <w:sz w:val="28"/>
          <w:szCs w:val="28"/>
        </w:rPr>
        <w:t>课程一般保持在12次讲座。</w:t>
      </w:r>
      <w:r w:rsidR="00A56B6E" w:rsidRPr="005857F3">
        <w:rPr>
          <w:rFonts w:ascii="仿宋_GB2312" w:eastAsia="仿宋_GB2312" w:hAnsi="Arial" w:cs="Arial" w:hint="eastAsia"/>
          <w:sz w:val="28"/>
          <w:szCs w:val="28"/>
        </w:rPr>
        <w:t>不定期开设“暑期研修班”、“数据分析”、“实验技能培训”等专题课程。</w:t>
      </w:r>
      <w:r w:rsidR="00D15080" w:rsidRPr="005857F3">
        <w:rPr>
          <w:rFonts w:ascii="仿宋_GB2312" w:eastAsia="仿宋_GB2312" w:hAnsi="Arial" w:cs="Arial" w:hint="eastAsia"/>
          <w:sz w:val="28"/>
          <w:szCs w:val="28"/>
        </w:rPr>
        <w:t>每门课程为2学分，</w:t>
      </w:r>
      <w:r w:rsidR="00A56B6E" w:rsidRPr="005857F3">
        <w:rPr>
          <w:rFonts w:ascii="仿宋_GB2312" w:eastAsia="仿宋_GB2312" w:hAnsi="Arial" w:cs="Arial" w:hint="eastAsia"/>
          <w:sz w:val="28"/>
          <w:szCs w:val="28"/>
        </w:rPr>
        <w:t>具体课程设置经室务会讨论确定，由办公室负责组织实施</w:t>
      </w:r>
      <w:r w:rsidR="00D15080" w:rsidRPr="005857F3">
        <w:rPr>
          <w:rFonts w:ascii="仿宋_GB2312" w:eastAsia="仿宋_GB2312" w:hAnsi="Arial" w:cs="Arial" w:hint="eastAsia"/>
          <w:sz w:val="28"/>
          <w:szCs w:val="28"/>
        </w:rPr>
        <w:t>。</w:t>
      </w:r>
    </w:p>
    <w:p w:rsidR="00A56B6E" w:rsidRPr="005857F3" w:rsidRDefault="00A56B6E" w:rsidP="005857F3">
      <w:pPr>
        <w:adjustRightInd w:val="0"/>
        <w:snapToGrid w:val="0"/>
        <w:spacing w:afterLines="50" w:after="156" w:line="360" w:lineRule="auto"/>
        <w:ind w:firstLineChars="200" w:firstLine="560"/>
        <w:rPr>
          <w:rFonts w:ascii="仿宋_GB2312" w:eastAsia="仿宋_GB2312" w:hAnsi="Arial" w:cs="Arial"/>
          <w:sz w:val="28"/>
          <w:szCs w:val="28"/>
        </w:rPr>
      </w:pPr>
      <w:r w:rsidRPr="005857F3">
        <w:rPr>
          <w:rFonts w:ascii="仿宋_GB2312" w:eastAsia="仿宋_GB2312" w:hAnsi="Arial" w:cs="Arial" w:hint="eastAsia"/>
          <w:sz w:val="28"/>
          <w:szCs w:val="28"/>
        </w:rPr>
        <w:t>第十二条 研究生课程</w:t>
      </w:r>
      <w:r w:rsidR="000E126D" w:rsidRPr="005857F3">
        <w:rPr>
          <w:rFonts w:ascii="仿宋_GB2312" w:eastAsia="仿宋_GB2312" w:hAnsi="Arial" w:cs="Arial" w:hint="eastAsia"/>
          <w:sz w:val="28"/>
          <w:szCs w:val="28"/>
        </w:rPr>
        <w:t>的主讲教师为</w:t>
      </w:r>
      <w:r w:rsidRPr="005857F3">
        <w:rPr>
          <w:rFonts w:ascii="仿宋_GB2312" w:eastAsia="仿宋_GB2312" w:hAnsi="Arial" w:cs="Arial" w:hint="eastAsia"/>
          <w:sz w:val="28"/>
          <w:szCs w:val="28"/>
        </w:rPr>
        <w:t>所内外相关领域的知名专家，针对最新的科学前沿和技术方法开设讲座。鼓励各研究组邀请国内外享有较高学术声誉的高水平学者或科技管理专家作为讲座教师</w:t>
      </w:r>
      <w:r w:rsidR="000E126D" w:rsidRPr="005857F3">
        <w:rPr>
          <w:rFonts w:ascii="仿宋_GB2312" w:eastAsia="仿宋_GB2312" w:hAnsi="Arial" w:cs="Arial" w:hint="eastAsia"/>
          <w:sz w:val="28"/>
          <w:szCs w:val="28"/>
        </w:rPr>
        <w:t>。</w:t>
      </w:r>
    </w:p>
    <w:p w:rsidR="00C74BDE" w:rsidRPr="005857F3" w:rsidRDefault="00C74BDE" w:rsidP="005857F3">
      <w:pPr>
        <w:adjustRightInd w:val="0"/>
        <w:snapToGrid w:val="0"/>
        <w:spacing w:afterLines="50" w:after="156" w:line="360" w:lineRule="auto"/>
        <w:ind w:firstLineChars="200" w:firstLine="560"/>
        <w:rPr>
          <w:rFonts w:ascii="仿宋_GB2312" w:eastAsia="仿宋_GB2312" w:hAnsi="Arial" w:cs="Arial"/>
          <w:sz w:val="28"/>
          <w:szCs w:val="28"/>
        </w:rPr>
      </w:pPr>
      <w:r w:rsidRPr="005857F3">
        <w:rPr>
          <w:rFonts w:ascii="仿宋_GB2312" w:eastAsia="仿宋_GB2312" w:hAnsi="Arial" w:cs="Arial"/>
          <w:sz w:val="28"/>
          <w:szCs w:val="28"/>
        </w:rPr>
        <w:t> </w:t>
      </w:r>
      <w:r w:rsidRPr="005857F3">
        <w:rPr>
          <w:rFonts w:ascii="仿宋_GB2312" w:eastAsia="仿宋_GB2312" w:hAnsi="Arial" w:cs="Arial" w:hint="eastAsia"/>
          <w:sz w:val="28"/>
          <w:szCs w:val="28"/>
        </w:rPr>
        <w:t>第十</w:t>
      </w:r>
      <w:r w:rsidR="00A56B6E" w:rsidRPr="005857F3">
        <w:rPr>
          <w:rFonts w:ascii="仿宋_GB2312" w:eastAsia="仿宋_GB2312" w:hAnsi="Arial" w:cs="Arial" w:hint="eastAsia"/>
          <w:sz w:val="28"/>
          <w:szCs w:val="28"/>
        </w:rPr>
        <w:t>三</w:t>
      </w:r>
      <w:r w:rsidRPr="005857F3">
        <w:rPr>
          <w:rFonts w:ascii="仿宋_GB2312" w:eastAsia="仿宋_GB2312" w:hAnsi="Arial" w:cs="Arial" w:hint="eastAsia"/>
          <w:sz w:val="28"/>
          <w:szCs w:val="28"/>
        </w:rPr>
        <w:t>条</w:t>
      </w:r>
      <w:r w:rsidRPr="005857F3">
        <w:rPr>
          <w:rFonts w:ascii="仿宋_GB2312" w:eastAsia="仿宋_GB2312" w:hAnsi="Arial" w:cs="Arial"/>
          <w:sz w:val="28"/>
          <w:szCs w:val="28"/>
        </w:rPr>
        <w:t>  </w:t>
      </w:r>
      <w:r w:rsidRPr="005857F3">
        <w:rPr>
          <w:rFonts w:ascii="仿宋_GB2312" w:eastAsia="仿宋_GB2312" w:hAnsi="Arial" w:cs="Arial" w:hint="eastAsia"/>
          <w:sz w:val="28"/>
          <w:szCs w:val="28"/>
        </w:rPr>
        <w:t>博士研究生在读期间必须修习</w:t>
      </w:r>
      <w:r w:rsidR="00A56B6E" w:rsidRPr="005857F3">
        <w:rPr>
          <w:rFonts w:ascii="仿宋_GB2312" w:eastAsia="仿宋_GB2312" w:hAnsi="Arial" w:cs="Arial" w:hint="eastAsia"/>
          <w:sz w:val="28"/>
          <w:szCs w:val="28"/>
        </w:rPr>
        <w:t>博士生专业课和至少一门专题课</w:t>
      </w:r>
      <w:r w:rsidRPr="005857F3">
        <w:rPr>
          <w:rFonts w:ascii="仿宋_GB2312" w:eastAsia="仿宋_GB2312" w:hAnsi="Arial" w:cs="Arial" w:hint="eastAsia"/>
          <w:sz w:val="28"/>
          <w:szCs w:val="28"/>
        </w:rPr>
        <w:t>，所选课程须经指导教师同意。</w:t>
      </w:r>
      <w:r w:rsidR="00A56B6E" w:rsidRPr="005857F3">
        <w:rPr>
          <w:rFonts w:ascii="仿宋_GB2312" w:eastAsia="仿宋_GB2312" w:hAnsi="Arial" w:cs="Arial" w:hint="eastAsia"/>
          <w:sz w:val="28"/>
          <w:szCs w:val="28"/>
        </w:rPr>
        <w:t>课程中不得无故缺席，课程结束需通过实验室组织的考核，考核合格可获得相应的学分。</w:t>
      </w:r>
    </w:p>
    <w:p w:rsidR="00C74BDE" w:rsidRPr="005857F3" w:rsidRDefault="00C74BDE" w:rsidP="005857F3">
      <w:pPr>
        <w:adjustRightInd w:val="0"/>
        <w:snapToGrid w:val="0"/>
        <w:spacing w:afterLines="50" w:after="156" w:line="360" w:lineRule="auto"/>
        <w:jc w:val="center"/>
        <w:rPr>
          <w:rFonts w:ascii="仿宋_GB2312" w:eastAsia="仿宋_GB2312" w:hAnsi="Arial" w:cs="Arial"/>
          <w:b/>
          <w:sz w:val="28"/>
          <w:szCs w:val="28"/>
        </w:rPr>
      </w:pPr>
      <w:r w:rsidRPr="005857F3">
        <w:rPr>
          <w:rFonts w:ascii="仿宋_GB2312" w:eastAsia="仿宋_GB2312" w:hAnsi="Arial" w:cs="Arial" w:hint="eastAsia"/>
          <w:b/>
          <w:sz w:val="28"/>
          <w:szCs w:val="28"/>
        </w:rPr>
        <w:t>第</w:t>
      </w:r>
      <w:r w:rsidR="005857F3">
        <w:rPr>
          <w:rFonts w:ascii="仿宋_GB2312" w:eastAsia="仿宋_GB2312" w:hAnsi="Arial" w:cs="Arial" w:hint="eastAsia"/>
          <w:b/>
          <w:sz w:val="28"/>
          <w:szCs w:val="28"/>
        </w:rPr>
        <w:t>六</w:t>
      </w:r>
      <w:r w:rsidRPr="005857F3">
        <w:rPr>
          <w:rFonts w:ascii="仿宋_GB2312" w:eastAsia="仿宋_GB2312" w:hAnsi="Arial" w:cs="Arial" w:hint="eastAsia"/>
          <w:b/>
          <w:sz w:val="28"/>
          <w:szCs w:val="28"/>
        </w:rPr>
        <w:t>章 附</w:t>
      </w:r>
      <w:r w:rsidRPr="005857F3">
        <w:rPr>
          <w:rFonts w:ascii="仿宋_GB2312" w:eastAsia="仿宋_GB2312" w:hAnsi="Arial" w:cs="Arial" w:hint="eastAsia"/>
          <w:b/>
          <w:sz w:val="28"/>
          <w:szCs w:val="28"/>
        </w:rPr>
        <w:t>  </w:t>
      </w:r>
      <w:r w:rsidRPr="005857F3">
        <w:rPr>
          <w:rFonts w:ascii="仿宋_GB2312" w:eastAsia="仿宋_GB2312" w:hAnsi="Arial" w:cs="Arial" w:hint="eastAsia"/>
          <w:b/>
          <w:sz w:val="28"/>
          <w:szCs w:val="28"/>
        </w:rPr>
        <w:t>则</w:t>
      </w:r>
    </w:p>
    <w:p w:rsidR="00A56B6E" w:rsidRPr="005857F3" w:rsidRDefault="00C74BDE" w:rsidP="005857F3">
      <w:pPr>
        <w:adjustRightInd w:val="0"/>
        <w:snapToGrid w:val="0"/>
        <w:spacing w:afterLines="50" w:after="156" w:line="360" w:lineRule="auto"/>
        <w:ind w:firstLineChars="200" w:firstLine="560"/>
        <w:rPr>
          <w:rFonts w:ascii="仿宋_GB2312" w:eastAsia="仿宋_GB2312" w:hAnsi="Arial" w:cs="Arial"/>
          <w:sz w:val="28"/>
          <w:szCs w:val="28"/>
        </w:rPr>
      </w:pPr>
      <w:r w:rsidRPr="005857F3">
        <w:rPr>
          <w:rFonts w:ascii="仿宋_GB2312" w:eastAsia="仿宋_GB2312" w:hAnsi="Arial" w:cs="Arial" w:hint="eastAsia"/>
          <w:sz w:val="28"/>
          <w:szCs w:val="28"/>
        </w:rPr>
        <w:t>第十四条</w:t>
      </w:r>
      <w:r w:rsidR="00A56B6E" w:rsidRPr="005857F3">
        <w:rPr>
          <w:rFonts w:ascii="仿宋_GB2312" w:eastAsia="仿宋_GB2312" w:hAnsi="Arial" w:cs="Arial"/>
          <w:sz w:val="28"/>
          <w:szCs w:val="28"/>
        </w:rPr>
        <w:t xml:space="preserve"> </w:t>
      </w:r>
      <w:r w:rsidRPr="005857F3">
        <w:rPr>
          <w:rFonts w:ascii="仿宋_GB2312" w:eastAsia="仿宋_GB2312" w:hAnsi="Arial" w:cs="Arial" w:hint="eastAsia"/>
          <w:sz w:val="28"/>
          <w:szCs w:val="28"/>
        </w:rPr>
        <w:t>本条例经</w:t>
      </w:r>
      <w:r w:rsidR="00A56B6E" w:rsidRPr="005857F3">
        <w:rPr>
          <w:rFonts w:ascii="仿宋_GB2312" w:eastAsia="仿宋_GB2312" w:hAnsi="Arial" w:cs="Arial" w:hint="eastAsia"/>
          <w:sz w:val="28"/>
          <w:szCs w:val="28"/>
        </w:rPr>
        <w:t>室务会</w:t>
      </w:r>
      <w:r w:rsidRPr="005857F3">
        <w:rPr>
          <w:rFonts w:ascii="仿宋_GB2312" w:eastAsia="仿宋_GB2312" w:hAnsi="Arial" w:cs="Arial" w:hint="eastAsia"/>
          <w:sz w:val="28"/>
          <w:szCs w:val="28"/>
        </w:rPr>
        <w:t>审议通过，自发布之日起执行。</w:t>
      </w:r>
    </w:p>
    <w:p w:rsidR="00C74BDE" w:rsidRDefault="00C74BDE" w:rsidP="005857F3">
      <w:pPr>
        <w:adjustRightInd w:val="0"/>
        <w:snapToGrid w:val="0"/>
        <w:spacing w:afterLines="50" w:after="156" w:line="360" w:lineRule="auto"/>
        <w:ind w:firstLineChars="200" w:firstLine="560"/>
        <w:rPr>
          <w:rFonts w:ascii="仿宋_GB2312" w:eastAsia="仿宋_GB2312" w:hAnsi="Arial" w:cs="Arial"/>
          <w:sz w:val="28"/>
          <w:szCs w:val="28"/>
        </w:rPr>
      </w:pPr>
      <w:r w:rsidRPr="005857F3">
        <w:rPr>
          <w:rFonts w:ascii="仿宋_GB2312" w:eastAsia="仿宋_GB2312" w:hAnsi="Arial" w:cs="Arial" w:hint="eastAsia"/>
          <w:sz w:val="28"/>
          <w:szCs w:val="28"/>
        </w:rPr>
        <w:t>第十五条</w:t>
      </w:r>
      <w:r w:rsidR="00A56B6E" w:rsidRPr="005857F3">
        <w:rPr>
          <w:rFonts w:ascii="仿宋_GB2312" w:eastAsia="仿宋_GB2312" w:hAnsi="Arial" w:cs="Arial"/>
          <w:sz w:val="28"/>
          <w:szCs w:val="28"/>
        </w:rPr>
        <w:t xml:space="preserve"> </w:t>
      </w:r>
      <w:r w:rsidRPr="005857F3">
        <w:rPr>
          <w:rFonts w:ascii="仿宋_GB2312" w:eastAsia="仿宋_GB2312" w:hAnsi="Arial" w:cs="Arial" w:hint="eastAsia"/>
          <w:sz w:val="28"/>
          <w:szCs w:val="28"/>
        </w:rPr>
        <w:t>本条例由</w:t>
      </w:r>
      <w:r w:rsidR="00A56B6E" w:rsidRPr="005857F3">
        <w:rPr>
          <w:rFonts w:ascii="仿宋_GB2312" w:eastAsia="仿宋_GB2312" w:hAnsi="Arial" w:cs="Arial" w:hint="eastAsia"/>
          <w:sz w:val="28"/>
          <w:szCs w:val="28"/>
        </w:rPr>
        <w:t>实验室办公室</w:t>
      </w:r>
      <w:r w:rsidRPr="005857F3">
        <w:rPr>
          <w:rFonts w:ascii="仿宋_GB2312" w:eastAsia="仿宋_GB2312" w:hAnsi="Arial" w:cs="Arial" w:hint="eastAsia"/>
          <w:sz w:val="28"/>
          <w:szCs w:val="28"/>
        </w:rPr>
        <w:t>负责解释。</w:t>
      </w:r>
    </w:p>
    <w:p w:rsidR="00686FA3" w:rsidRDefault="00686FA3" w:rsidP="005857F3">
      <w:pPr>
        <w:adjustRightInd w:val="0"/>
        <w:snapToGrid w:val="0"/>
        <w:spacing w:afterLines="50" w:after="156" w:line="360" w:lineRule="auto"/>
        <w:ind w:firstLineChars="200" w:firstLine="560"/>
        <w:rPr>
          <w:rFonts w:ascii="仿宋_GB2312" w:eastAsia="仿宋_GB2312" w:hAnsi="Arial" w:cs="Arial"/>
          <w:sz w:val="28"/>
          <w:szCs w:val="28"/>
        </w:rPr>
      </w:pPr>
    </w:p>
    <w:p w:rsidR="00686FA3" w:rsidRPr="00686FA3" w:rsidRDefault="00686FA3" w:rsidP="00686FA3">
      <w:pPr>
        <w:adjustRightInd w:val="0"/>
        <w:snapToGrid w:val="0"/>
        <w:spacing w:afterLines="50" w:after="156" w:line="360" w:lineRule="auto"/>
        <w:ind w:firstLineChars="200" w:firstLine="560"/>
        <w:rPr>
          <w:rFonts w:ascii="仿宋_GB2312" w:eastAsia="仿宋_GB2312" w:hAnsi="Arial" w:cs="Arial"/>
          <w:sz w:val="28"/>
          <w:szCs w:val="28"/>
        </w:rPr>
      </w:pPr>
    </w:p>
    <w:p w:rsidR="00686FA3" w:rsidRPr="00686FA3" w:rsidRDefault="00686FA3" w:rsidP="00686FA3">
      <w:pPr>
        <w:adjustRightInd w:val="0"/>
        <w:snapToGrid w:val="0"/>
        <w:spacing w:afterLines="50" w:after="156" w:line="360" w:lineRule="auto"/>
        <w:ind w:firstLineChars="860" w:firstLine="2408"/>
        <w:jc w:val="center"/>
        <w:rPr>
          <w:rFonts w:ascii="仿宋_GB2312" w:eastAsia="仿宋_GB2312" w:hAnsi="Arial" w:cs="Arial"/>
          <w:sz w:val="28"/>
          <w:szCs w:val="28"/>
        </w:rPr>
      </w:pPr>
      <w:r w:rsidRPr="00686FA3">
        <w:rPr>
          <w:rFonts w:ascii="仿宋_GB2312" w:eastAsia="仿宋_GB2312" w:hAnsi="Arial" w:cs="Arial" w:hint="eastAsia"/>
          <w:sz w:val="28"/>
          <w:szCs w:val="28"/>
        </w:rPr>
        <w:t>农业虫害鼠害综合治理研究国家重点实验室</w:t>
      </w:r>
    </w:p>
    <w:p w:rsidR="00686FA3" w:rsidRPr="005857F3" w:rsidRDefault="00686FA3" w:rsidP="00686FA3">
      <w:pPr>
        <w:adjustRightInd w:val="0"/>
        <w:snapToGrid w:val="0"/>
        <w:spacing w:afterLines="50" w:after="156" w:line="360" w:lineRule="auto"/>
        <w:ind w:firstLineChars="860" w:firstLine="2408"/>
        <w:jc w:val="center"/>
        <w:rPr>
          <w:rFonts w:ascii="仿宋_GB2312" w:eastAsia="仿宋_GB2312" w:hAnsi="Arial" w:cs="Arial" w:hint="eastAsia"/>
          <w:sz w:val="28"/>
          <w:szCs w:val="28"/>
        </w:rPr>
      </w:pPr>
      <w:r w:rsidRPr="00686FA3">
        <w:rPr>
          <w:rFonts w:ascii="仿宋_GB2312" w:eastAsia="仿宋_GB2312" w:hAnsi="Arial" w:cs="Arial" w:hint="eastAsia"/>
          <w:sz w:val="28"/>
          <w:szCs w:val="28"/>
        </w:rPr>
        <w:t>二零</w:t>
      </w:r>
      <w:r>
        <w:rPr>
          <w:rFonts w:ascii="仿宋_GB2312" w:eastAsia="仿宋_GB2312" w:hAnsi="Arial" w:cs="Arial" w:hint="eastAsia"/>
          <w:sz w:val="28"/>
          <w:szCs w:val="28"/>
        </w:rPr>
        <w:t>一三</w:t>
      </w:r>
      <w:r w:rsidRPr="00686FA3">
        <w:rPr>
          <w:rFonts w:ascii="仿宋_GB2312" w:eastAsia="仿宋_GB2312" w:hAnsi="Arial" w:cs="Arial" w:hint="eastAsia"/>
          <w:sz w:val="28"/>
          <w:szCs w:val="28"/>
        </w:rPr>
        <w:t>年</w:t>
      </w:r>
      <w:r w:rsidR="00D92626">
        <w:rPr>
          <w:rFonts w:ascii="仿宋_GB2312" w:eastAsia="仿宋_GB2312" w:hAnsi="Arial" w:cs="Arial" w:hint="eastAsia"/>
          <w:sz w:val="28"/>
          <w:szCs w:val="28"/>
        </w:rPr>
        <w:t>四</w:t>
      </w:r>
      <w:bookmarkStart w:id="0" w:name="_GoBack"/>
      <w:bookmarkEnd w:id="0"/>
      <w:r w:rsidRPr="00686FA3">
        <w:rPr>
          <w:rFonts w:ascii="仿宋_GB2312" w:eastAsia="仿宋_GB2312" w:hAnsi="Arial" w:cs="Arial" w:hint="eastAsia"/>
          <w:sz w:val="28"/>
          <w:szCs w:val="28"/>
        </w:rPr>
        <w:t>月十六日</w:t>
      </w:r>
    </w:p>
    <w:sectPr w:rsidR="00686FA3" w:rsidRPr="005857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815" w:rsidRDefault="00806815" w:rsidP="00D15080">
      <w:r>
        <w:separator/>
      </w:r>
    </w:p>
  </w:endnote>
  <w:endnote w:type="continuationSeparator" w:id="0">
    <w:p w:rsidR="00806815" w:rsidRDefault="00806815" w:rsidP="00D15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815" w:rsidRDefault="00806815" w:rsidP="00D15080">
      <w:r>
        <w:separator/>
      </w:r>
    </w:p>
  </w:footnote>
  <w:footnote w:type="continuationSeparator" w:id="0">
    <w:p w:rsidR="00806815" w:rsidRDefault="00806815" w:rsidP="00D150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F14A1"/>
    <w:multiLevelType w:val="hybridMultilevel"/>
    <w:tmpl w:val="32AE9AA2"/>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688B57FD"/>
    <w:multiLevelType w:val="hybridMultilevel"/>
    <w:tmpl w:val="6AA0143A"/>
    <w:lvl w:ilvl="0" w:tplc="51963C1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BDE"/>
    <w:rsid w:val="000E126D"/>
    <w:rsid w:val="001C166A"/>
    <w:rsid w:val="002F232B"/>
    <w:rsid w:val="0036298D"/>
    <w:rsid w:val="005857F3"/>
    <w:rsid w:val="00686FA3"/>
    <w:rsid w:val="00806815"/>
    <w:rsid w:val="00826460"/>
    <w:rsid w:val="009649BC"/>
    <w:rsid w:val="00A35D14"/>
    <w:rsid w:val="00A56B6E"/>
    <w:rsid w:val="00AC4A3F"/>
    <w:rsid w:val="00C74BDE"/>
    <w:rsid w:val="00D15080"/>
    <w:rsid w:val="00D92626"/>
    <w:rsid w:val="00DB3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D12AB"/>
  <w15:chartTrackingRefBased/>
  <w15:docId w15:val="{3E704685-7980-4C71-B4D3-10C2B2C36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B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508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15080"/>
    <w:rPr>
      <w:sz w:val="18"/>
      <w:szCs w:val="18"/>
    </w:rPr>
  </w:style>
  <w:style w:type="paragraph" w:styleId="a5">
    <w:name w:val="footer"/>
    <w:basedOn w:val="a"/>
    <w:link w:val="a6"/>
    <w:uiPriority w:val="99"/>
    <w:unhideWhenUsed/>
    <w:rsid w:val="00D15080"/>
    <w:pPr>
      <w:tabs>
        <w:tab w:val="center" w:pos="4153"/>
        <w:tab w:val="right" w:pos="8306"/>
      </w:tabs>
      <w:snapToGrid w:val="0"/>
      <w:jc w:val="left"/>
    </w:pPr>
    <w:rPr>
      <w:sz w:val="18"/>
      <w:szCs w:val="18"/>
    </w:rPr>
  </w:style>
  <w:style w:type="character" w:customStyle="1" w:styleId="a6">
    <w:name w:val="页脚 字符"/>
    <w:basedOn w:val="a0"/>
    <w:link w:val="a5"/>
    <w:uiPriority w:val="99"/>
    <w:rsid w:val="00D15080"/>
    <w:rPr>
      <w:sz w:val="18"/>
      <w:szCs w:val="18"/>
    </w:rPr>
  </w:style>
  <w:style w:type="paragraph" w:styleId="a7">
    <w:name w:val="List Paragraph"/>
    <w:basedOn w:val="a"/>
    <w:uiPriority w:val="34"/>
    <w:qFormat/>
    <w:rsid w:val="0036298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230</Words>
  <Characters>1315</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renss</dc:creator>
  <cp:keywords/>
  <dc:description/>
  <cp:lastModifiedBy>renss</cp:lastModifiedBy>
  <cp:revision>6</cp:revision>
  <dcterms:created xsi:type="dcterms:W3CDTF">2016-11-22T07:58:00Z</dcterms:created>
  <dcterms:modified xsi:type="dcterms:W3CDTF">2016-12-05T08:36:00Z</dcterms:modified>
</cp:coreProperties>
</file>